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pacing w:line="240" w:lineRule="auto"/>
        <w:jc w:val="both"/>
        <w:rPr>
          <w:rFonts w:hint="eastAsia" w:ascii="黑体" w:eastAsia="黑体"/>
          <w:color w:val="FFFFFF"/>
          <w:spacing w:val="80"/>
          <w:sz w:val="52"/>
          <w:szCs w:val="52"/>
        </w:rPr>
      </w:pPr>
      <w:r>
        <w:rPr>
          <w:rFonts w:hint="eastAsia" w:ascii="仿宋" w:hAnsi="仿宋" w:eastAsia="仿宋" w:cs="仿宋"/>
          <w:sz w:val="32"/>
          <w:szCs w:val="32"/>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-1000125</wp:posOffset>
            </wp:positionV>
            <wp:extent cx="7620000" cy="10775950"/>
            <wp:effectExtent l="0" t="0" r="0" b="6350"/>
            <wp:wrapNone/>
            <wp:docPr id="23" name="图片 5" descr="出样稿1111111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出样稿11111112222"/>
                    <pic:cNvPicPr>
                      <a:picLocks noChangeAspect="1"/>
                    </pic:cNvPicPr>
                  </pic:nvPicPr>
                  <pic:blipFill>
                    <a:blip r:embed="rId10"/>
                    <a:stretch>
                      <a:fillRect/>
                    </a:stretch>
                  </pic:blipFill>
                  <pic:spPr>
                    <a:xfrm>
                      <a:off x="0" y="0"/>
                      <a:ext cx="7620000" cy="10775950"/>
                    </a:xfrm>
                    <a:prstGeom prst="rect">
                      <a:avLst/>
                    </a:prstGeom>
                    <a:noFill/>
                    <a:ln>
                      <a:noFill/>
                    </a:ln>
                  </pic:spPr>
                </pic:pic>
              </a:graphicData>
            </a:graphic>
          </wp:anchor>
        </w:drawing>
      </w:r>
    </w:p>
    <w:p>
      <w:pPr>
        <w:pageBreakBefore w:val="0"/>
        <w:kinsoku/>
        <w:wordWrap/>
        <w:overflowPunct/>
        <w:topLinePunct w:val="0"/>
        <w:autoSpaceDE/>
        <w:autoSpaceDN/>
        <w:bidi w:val="0"/>
        <w:adjustRightInd/>
        <w:spacing w:line="240" w:lineRule="auto"/>
        <w:jc w:val="center"/>
        <w:rPr>
          <w:rFonts w:hint="eastAsia" w:ascii="黑体" w:eastAsia="黑体"/>
          <w:color w:val="FFFFFF"/>
          <w:spacing w:val="80"/>
          <w:sz w:val="52"/>
          <w:szCs w:val="52"/>
        </w:rPr>
      </w:pPr>
    </w:p>
    <w:p>
      <w:pPr>
        <w:pageBreakBefore w:val="0"/>
        <w:kinsoku/>
        <w:wordWrap/>
        <w:overflowPunct/>
        <w:topLinePunct w:val="0"/>
        <w:autoSpaceDE/>
        <w:autoSpaceDN/>
        <w:bidi w:val="0"/>
        <w:adjustRightInd/>
        <w:spacing w:line="240" w:lineRule="auto"/>
        <w:jc w:val="center"/>
        <w:rPr>
          <w:rFonts w:hint="eastAsia" w:ascii="黑体" w:eastAsia="黑体"/>
          <w:color w:val="FFFFFF"/>
          <w:spacing w:val="80"/>
          <w:sz w:val="52"/>
          <w:szCs w:val="52"/>
        </w:rPr>
      </w:pPr>
      <w:r>
        <w:rPr>
          <w:rFonts w:hint="eastAsia" w:ascii="黑体" w:eastAsia="黑体"/>
          <w:color w:val="FFFFFF"/>
          <w:spacing w:val="80"/>
          <w:sz w:val="52"/>
          <w:szCs w:val="52"/>
        </w:rPr>
        <w:t>天津市信息工程学校</w:t>
      </w:r>
    </w:p>
    <w:p>
      <w:pPr>
        <w:pageBreakBefore w:val="0"/>
        <w:kinsoku/>
        <w:wordWrap/>
        <w:overflowPunct/>
        <w:topLinePunct w:val="0"/>
        <w:autoSpaceDE/>
        <w:autoSpaceDN/>
        <w:bidi w:val="0"/>
        <w:adjustRightInd/>
        <w:spacing w:line="240" w:lineRule="auto"/>
        <w:jc w:val="center"/>
        <w:rPr>
          <w:rFonts w:hint="eastAsia" w:ascii="黑体" w:eastAsia="黑体"/>
          <w:color w:val="FFFFFF"/>
          <w:sz w:val="52"/>
          <w:szCs w:val="52"/>
        </w:rPr>
      </w:pPr>
      <w:r>
        <w:rPr>
          <w:rFonts w:hint="eastAsia" w:ascii="黑体" w:eastAsia="黑体"/>
          <w:color w:val="FFFFFF"/>
          <w:sz w:val="52"/>
          <w:szCs w:val="52"/>
        </w:rPr>
        <w:t>中等职业教育质量年度报告（202</w:t>
      </w:r>
      <w:r>
        <w:rPr>
          <w:rFonts w:hint="eastAsia" w:ascii="黑体" w:eastAsia="黑体"/>
          <w:color w:val="FFFFFF"/>
          <w:sz w:val="52"/>
          <w:szCs w:val="52"/>
          <w:lang w:val="en-US" w:eastAsia="zh-CN"/>
        </w:rPr>
        <w:t>3</w:t>
      </w:r>
      <w:r>
        <w:rPr>
          <w:rFonts w:hint="eastAsia" w:ascii="黑体" w:eastAsia="黑体"/>
          <w:color w:val="FFFFFF"/>
          <w:sz w:val="52"/>
          <w:szCs w:val="52"/>
        </w:rPr>
        <w:t>）</w:t>
      </w:r>
    </w:p>
    <w:p>
      <w:pPr>
        <w:pageBreakBefore w:val="0"/>
        <w:kinsoku/>
        <w:wordWrap/>
        <w:overflowPunct/>
        <w:topLinePunct w:val="0"/>
        <w:autoSpaceDE/>
        <w:autoSpaceDN/>
        <w:bidi w:val="0"/>
        <w:adjustRightInd/>
        <w:spacing w:line="240" w:lineRule="auto"/>
        <w:jc w:val="center"/>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jc w:val="center"/>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jc w:val="center"/>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jc w:val="center"/>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jc w:val="center"/>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jc w:val="center"/>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jc w:val="center"/>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jc w:val="center"/>
        <w:rPr>
          <w:rFonts w:hint="eastAsia" w:ascii="仿宋" w:hAnsi="仿宋" w:eastAsia="仿宋" w:cs="仿宋"/>
          <w:b/>
          <w:bCs/>
          <w:color w:val="FFFFFF" w:themeColor="background1"/>
          <w:sz w:val="36"/>
          <w:szCs w:val="36"/>
          <w:lang w:val="en-US" w:eastAsia="zh-CN"/>
          <w14:textFill>
            <w14:solidFill>
              <w14:schemeClr w14:val="bg1"/>
            </w14:solidFill>
          </w14:textFill>
        </w:rPr>
      </w:pPr>
      <w:r>
        <w:rPr>
          <w:rFonts w:hint="eastAsia" w:ascii="仿宋" w:hAnsi="仿宋" w:eastAsia="仿宋" w:cs="仿宋"/>
          <w:b/>
          <w:bCs/>
          <w:color w:val="FFFFFF" w:themeColor="background1"/>
          <w:sz w:val="36"/>
          <w:szCs w:val="36"/>
          <w:lang w:val="en-US" w:eastAsia="zh-CN"/>
          <w14:textFill>
            <w14:solidFill>
              <w14:schemeClr w14:val="bg1"/>
            </w14:solidFill>
          </w14:textFill>
        </w:rPr>
        <w:t>学校名称：天津市信息工程学校</w:t>
      </w:r>
    </w:p>
    <w:p>
      <w:pPr>
        <w:pStyle w:val="5"/>
        <w:pageBreakBefore w:val="0"/>
        <w:kinsoku/>
        <w:wordWrap/>
        <w:overflowPunct/>
        <w:topLinePunct w:val="0"/>
        <w:autoSpaceDE/>
        <w:autoSpaceDN/>
        <w:bidi w:val="0"/>
        <w:adjustRightInd/>
        <w:spacing w:before="0" w:after="0" w:line="240" w:lineRule="auto"/>
        <w:jc w:val="center"/>
        <w:outlineLvl w:val="0"/>
        <w:rPr>
          <w:rFonts w:hint="eastAsia" w:ascii="仿宋" w:hAnsi="仿宋" w:eastAsia="仿宋" w:cs="仿宋"/>
          <w:b/>
          <w:bCs/>
          <w:color w:val="FFFFFF" w:themeColor="background1"/>
          <w:sz w:val="44"/>
          <w:szCs w:val="44"/>
          <w:lang w:val="en-US" w:eastAsia="zh-CN"/>
          <w14:textFill>
            <w14:solidFill>
              <w14:schemeClr w14:val="bg1"/>
            </w14:solidFill>
          </w14:textFill>
        </w:rPr>
      </w:pPr>
      <w:bookmarkStart w:id="0" w:name="_Toc1797"/>
      <w:bookmarkStart w:id="1" w:name="_Toc7224"/>
      <w:bookmarkStart w:id="2" w:name="_Toc11388"/>
      <w:bookmarkStart w:id="3" w:name="_Toc4800"/>
      <w:bookmarkStart w:id="4" w:name="_Toc11189"/>
      <w:bookmarkStart w:id="5" w:name="_Toc4231"/>
      <w:bookmarkStart w:id="6" w:name="_Toc7133"/>
      <w:r>
        <w:rPr>
          <w:rFonts w:hint="eastAsia" w:ascii="仿宋" w:hAnsi="仿宋" w:eastAsia="仿宋" w:cs="仿宋"/>
          <w:b/>
          <w:bCs/>
          <w:color w:val="FFFFFF" w:themeColor="background1"/>
          <w:sz w:val="36"/>
          <w:szCs w:val="36"/>
          <w:lang w:val="en-US" w:eastAsia="zh-CN"/>
          <w14:textFill>
            <w14:solidFill>
              <w14:schemeClr w14:val="bg1"/>
            </w14:solidFill>
          </w14:textFill>
        </w:rPr>
        <w:t>主管单位：天津市蓟州区教育局</w:t>
      </w:r>
      <w:bookmarkEnd w:id="0"/>
      <w:bookmarkEnd w:id="1"/>
      <w:bookmarkEnd w:id="2"/>
      <w:bookmarkEnd w:id="3"/>
      <w:bookmarkEnd w:id="4"/>
      <w:bookmarkEnd w:id="5"/>
      <w:bookmarkEnd w:id="6"/>
    </w:p>
    <w:p>
      <w:pPr>
        <w:pageBreakBefore w:val="0"/>
        <w:kinsoku/>
        <w:wordWrap/>
        <w:overflowPunct/>
        <w:topLinePunct w:val="0"/>
        <w:autoSpaceDE/>
        <w:autoSpaceDN/>
        <w:bidi w:val="0"/>
        <w:adjustRightInd/>
        <w:spacing w:line="240" w:lineRule="auto"/>
        <w:jc w:val="center"/>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jc w:val="center"/>
        <w:rPr>
          <w:rFonts w:hint="default" w:ascii="仿宋" w:hAnsi="仿宋" w:cs="仿宋" w:eastAsiaTheme="minorEastAsia"/>
          <w:b/>
          <w:bCs/>
          <w:sz w:val="44"/>
          <w:szCs w:val="44"/>
          <w:lang w:val="en-US" w:eastAsia="zh-CN"/>
        </w:rPr>
      </w:pPr>
      <w:r>
        <w:rPr>
          <w:rFonts w:hint="eastAsia"/>
          <w:lang w:val="en-US" w:eastAsia="zh-CN"/>
        </w:rPr>
        <w:t xml:space="preserve">   </w:t>
      </w:r>
    </w:p>
    <w:p>
      <w:pPr>
        <w:pageBreakBefore w:val="0"/>
        <w:kinsoku/>
        <w:wordWrap/>
        <w:overflowPunct/>
        <w:topLinePunct w:val="0"/>
        <w:autoSpaceDE/>
        <w:autoSpaceDN/>
        <w:bidi w:val="0"/>
        <w:adjustRightInd/>
        <w:spacing w:line="240" w:lineRule="auto"/>
        <w:jc w:val="both"/>
        <w:rPr>
          <w:rFonts w:hint="eastAsia" w:ascii="仿宋" w:hAnsi="仿宋" w:eastAsia="仿宋" w:cs="仿宋"/>
          <w:b/>
          <w:bCs/>
          <w:sz w:val="44"/>
          <w:szCs w:val="44"/>
        </w:rPr>
      </w:pPr>
    </w:p>
    <w:p>
      <w:pPr>
        <w:pStyle w:val="5"/>
        <w:pageBreakBefore w:val="0"/>
        <w:kinsoku/>
        <w:wordWrap/>
        <w:overflowPunct/>
        <w:topLinePunct w:val="0"/>
        <w:autoSpaceDE/>
        <w:autoSpaceDN/>
        <w:bidi w:val="0"/>
        <w:adjustRightInd/>
        <w:spacing w:before="0" w:after="0" w:line="240" w:lineRule="auto"/>
        <w:outlineLvl w:val="9"/>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rPr>
          <w:rFonts w:hint="eastAsia" w:ascii="仿宋" w:hAnsi="仿宋" w:eastAsia="仿宋" w:cs="仿宋"/>
          <w:b/>
          <w:bCs/>
          <w:sz w:val="44"/>
          <w:szCs w:val="44"/>
        </w:rPr>
      </w:pPr>
    </w:p>
    <w:p>
      <w:pPr>
        <w:pStyle w:val="5"/>
        <w:pageBreakBefore w:val="0"/>
        <w:kinsoku/>
        <w:wordWrap/>
        <w:overflowPunct/>
        <w:topLinePunct w:val="0"/>
        <w:autoSpaceDE/>
        <w:autoSpaceDN/>
        <w:bidi w:val="0"/>
        <w:adjustRightInd/>
        <w:spacing w:before="0" w:after="0" w:line="240" w:lineRule="auto"/>
        <w:outlineLvl w:val="9"/>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 xml:space="preserve"> </w:t>
      </w:r>
    </w:p>
    <w:p>
      <w:pPr>
        <w:pStyle w:val="5"/>
        <w:pageBreakBefore w:val="0"/>
        <w:kinsoku/>
        <w:wordWrap/>
        <w:overflowPunct/>
        <w:topLinePunct w:val="0"/>
        <w:autoSpaceDE/>
        <w:autoSpaceDN/>
        <w:bidi w:val="0"/>
        <w:adjustRightInd/>
        <w:spacing w:before="0" w:after="0" w:line="240" w:lineRule="auto"/>
        <w:outlineLvl w:val="9"/>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rPr>
          <w:rFonts w:hint="eastAsia" w:ascii="仿宋" w:hAnsi="仿宋" w:eastAsia="仿宋" w:cs="仿宋"/>
          <w:b/>
          <w:bCs/>
          <w:sz w:val="44"/>
          <w:szCs w:val="44"/>
        </w:rPr>
      </w:pPr>
    </w:p>
    <w:p>
      <w:pPr>
        <w:pStyle w:val="5"/>
        <w:pageBreakBefore w:val="0"/>
        <w:kinsoku/>
        <w:wordWrap/>
        <w:overflowPunct/>
        <w:topLinePunct w:val="0"/>
        <w:autoSpaceDE/>
        <w:autoSpaceDN/>
        <w:bidi w:val="0"/>
        <w:adjustRightInd/>
        <w:spacing w:before="0" w:after="0" w:line="240" w:lineRule="auto"/>
        <w:outlineLvl w:val="9"/>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rPr>
          <w:rFonts w:hint="eastAsia" w:ascii="仿宋" w:hAnsi="仿宋" w:eastAsia="仿宋" w:cs="仿宋"/>
          <w:b/>
          <w:bCs/>
          <w:sz w:val="44"/>
          <w:szCs w:val="44"/>
        </w:rPr>
      </w:pPr>
    </w:p>
    <w:p>
      <w:pPr>
        <w:pStyle w:val="5"/>
        <w:pageBreakBefore w:val="0"/>
        <w:kinsoku/>
        <w:wordWrap/>
        <w:overflowPunct/>
        <w:topLinePunct w:val="0"/>
        <w:autoSpaceDE/>
        <w:autoSpaceDN/>
        <w:bidi w:val="0"/>
        <w:adjustRightInd/>
        <w:spacing w:before="0" w:after="0" w:line="240" w:lineRule="auto"/>
        <w:outlineLvl w:val="9"/>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rPr>
          <w:rFonts w:hint="eastAsia" w:ascii="仿宋" w:hAnsi="仿宋" w:eastAsia="仿宋" w:cs="仿宋"/>
          <w:b/>
          <w:bCs/>
          <w:sz w:val="44"/>
          <w:szCs w:val="44"/>
        </w:rPr>
      </w:pPr>
    </w:p>
    <w:p>
      <w:pPr>
        <w:pStyle w:val="5"/>
        <w:pageBreakBefore w:val="0"/>
        <w:kinsoku/>
        <w:wordWrap/>
        <w:overflowPunct/>
        <w:topLinePunct w:val="0"/>
        <w:autoSpaceDE/>
        <w:autoSpaceDN/>
        <w:bidi w:val="0"/>
        <w:adjustRightInd/>
        <w:spacing w:before="0" w:after="0" w:line="240" w:lineRule="auto"/>
        <w:outlineLvl w:val="9"/>
        <w:rPr>
          <w:rFonts w:hint="eastAsia" w:ascii="仿宋" w:hAnsi="仿宋" w:eastAsia="仿宋" w:cs="仿宋"/>
          <w:b/>
          <w:bCs/>
          <w:sz w:val="44"/>
          <w:szCs w:val="44"/>
        </w:rPr>
      </w:pPr>
    </w:p>
    <w:p>
      <w:pPr>
        <w:pStyle w:val="5"/>
        <w:pageBreakBefore w:val="0"/>
        <w:kinsoku/>
        <w:wordWrap/>
        <w:overflowPunct/>
        <w:topLinePunct w:val="0"/>
        <w:autoSpaceDE/>
        <w:autoSpaceDN/>
        <w:bidi w:val="0"/>
        <w:adjustRightInd/>
        <w:spacing w:before="0" w:after="0" w:line="240" w:lineRule="auto"/>
        <w:outlineLvl w:val="9"/>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jc w:val="center"/>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drawing>
          <wp:anchor distT="0" distB="0" distL="114300" distR="114300" simplePos="0" relativeHeight="251660288" behindDoc="0" locked="0" layoutInCell="1" allowOverlap="1">
            <wp:simplePos x="0" y="0"/>
            <wp:positionH relativeFrom="column">
              <wp:posOffset>-965200</wp:posOffset>
            </wp:positionH>
            <wp:positionV relativeFrom="paragraph">
              <wp:posOffset>-4163060</wp:posOffset>
            </wp:positionV>
            <wp:extent cx="7153275" cy="10116820"/>
            <wp:effectExtent l="0" t="0" r="0" b="0"/>
            <wp:wrapNone/>
            <wp:docPr id="14" name="图片 14" descr="2024010316144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40103161442_00001"/>
                    <pic:cNvPicPr>
                      <a:picLocks noChangeAspect="1"/>
                    </pic:cNvPicPr>
                  </pic:nvPicPr>
                  <pic:blipFill>
                    <a:blip r:embed="rId11"/>
                    <a:stretch>
                      <a:fillRect/>
                    </a:stretch>
                  </pic:blipFill>
                  <pic:spPr>
                    <a:xfrm>
                      <a:off x="0" y="0"/>
                      <a:ext cx="7153275" cy="10116820"/>
                    </a:xfrm>
                    <a:prstGeom prst="rect">
                      <a:avLst/>
                    </a:prstGeom>
                  </pic:spPr>
                </pic:pic>
              </a:graphicData>
            </a:graphic>
          </wp:anchor>
        </w:drawing>
      </w: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bookmarkStart w:id="7" w:name="_Toc18935"/>
      <w:bookmarkStart w:id="8" w:name="_Toc3090"/>
      <w:bookmarkStart w:id="9" w:name="_Toc11831"/>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center"/>
        <w:outlineLvl w:val="9"/>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jc w:val="both"/>
        <w:outlineLvl w:val="0"/>
        <w:rPr>
          <w:rFonts w:hint="eastAsia" w:ascii="仿宋" w:hAnsi="仿宋" w:eastAsia="仿宋" w:cs="仿宋"/>
          <w:b/>
          <w:sz w:val="44"/>
          <w:szCs w:val="44"/>
        </w:rPr>
      </w:pPr>
      <w:bookmarkStart w:id="10" w:name="_Toc17957"/>
      <w:bookmarkStart w:id="11" w:name="_Toc1450"/>
      <w:bookmarkStart w:id="12" w:name="_Toc12890"/>
      <w:bookmarkStart w:id="13" w:name="_Toc29241"/>
    </w:p>
    <w:p>
      <w:pPr>
        <w:pageBreakBefore w:val="0"/>
        <w:kinsoku/>
        <w:wordWrap/>
        <w:overflowPunct/>
        <w:topLinePunct w:val="0"/>
        <w:autoSpaceDE/>
        <w:autoSpaceDN/>
        <w:bidi w:val="0"/>
        <w:adjustRightInd/>
        <w:spacing w:line="240" w:lineRule="auto"/>
        <w:jc w:val="center"/>
        <w:outlineLvl w:val="0"/>
        <w:rPr>
          <w:rFonts w:hint="eastAsia" w:ascii="仿宋" w:hAnsi="仿宋" w:eastAsia="仿宋" w:cs="仿宋"/>
          <w:b/>
          <w:sz w:val="44"/>
          <w:szCs w:val="44"/>
        </w:rPr>
      </w:pPr>
      <w:r>
        <w:rPr>
          <w:rFonts w:hint="eastAsia" w:ascii="仿宋" w:hAnsi="仿宋" w:eastAsia="仿宋" w:cs="仿宋"/>
          <w:b/>
          <w:sz w:val="44"/>
          <w:szCs w:val="44"/>
        </w:rPr>
        <w:t>前  言</w:t>
      </w:r>
      <w:bookmarkEnd w:id="7"/>
      <w:bookmarkEnd w:id="8"/>
      <w:bookmarkEnd w:id="9"/>
      <w:bookmarkEnd w:id="10"/>
      <w:bookmarkEnd w:id="11"/>
      <w:bookmarkEnd w:id="12"/>
      <w:bookmarkEnd w:id="13"/>
    </w:p>
    <w:p>
      <w:pPr>
        <w:pageBreakBefore w:val="0"/>
        <w:kinsoku/>
        <w:wordWrap/>
        <w:overflowPunct/>
        <w:topLinePunct w:val="0"/>
        <w:autoSpaceDE/>
        <w:autoSpaceDN/>
        <w:bidi w:val="0"/>
        <w:adjustRightInd/>
        <w:spacing w:line="240" w:lineRule="auto"/>
        <w:jc w:val="center"/>
        <w:outlineLvl w:val="0"/>
        <w:rPr>
          <w:rFonts w:hint="eastAsia" w:ascii="仿宋" w:hAnsi="仿宋" w:eastAsia="仿宋" w:cs="仿宋"/>
          <w:b/>
          <w:sz w:val="44"/>
          <w:szCs w:val="44"/>
        </w:rPr>
      </w:pPr>
    </w:p>
    <w:p>
      <w:pPr>
        <w:pageBreakBefore w:val="0"/>
        <w:kinsoku/>
        <w:wordWrap/>
        <w:overflowPunct/>
        <w:topLinePunct w:val="0"/>
        <w:autoSpaceDE/>
        <w:autoSpaceDN/>
        <w:bidi w:val="0"/>
        <w:adjustRightInd/>
        <w:spacing w:line="240" w:lineRule="auto"/>
        <w:ind w:firstLine="640" w:firstLineChars="200"/>
        <w:rPr>
          <w:rFonts w:ascii="仿宋_GB2312" w:hAnsi="宋体" w:eastAsia="仿宋_GB2312"/>
          <w:sz w:val="28"/>
          <w:szCs w:val="28"/>
        </w:rPr>
      </w:pPr>
      <w:r>
        <w:rPr>
          <w:rFonts w:hint="eastAsia" w:ascii="仿宋" w:hAnsi="仿宋" w:eastAsia="仿宋" w:cs="仿宋"/>
          <w:sz w:val="32"/>
          <w:szCs w:val="32"/>
        </w:rPr>
        <w:t>天津市信息工程学校以习近平新时代中国特色社会主义思想和党的十九大精神为指导，坚持学校党委对教育教学的全面领导，坚持把立德树人作为根本任务，坚持社会主义办学方向，坚持深化教育教学改革创新，坚持把服务中华民族伟大复兴作为学校的重要使命，坚持把培养出一支具有较强的专业实践能力，熟悉现代生产、服务、管理等作业过程和标准的教师队伍作为基础工作，坚持面向市场、服务发展、促进就业的办学方向，随信息技术发展和产业升级情况及时动态更新专业教材，推进产教融合、校企合作，落实职业教育东西协作行动计划，健全德技并修、工学结合的育人机制，培养更多热爱和拥护中国共产党，立志扎根人民、奉献国家，有大爱大德大情怀的技能人才。</w:t>
      </w:r>
    </w:p>
    <w:p>
      <w:pPr>
        <w:pageBreakBefore w:val="0"/>
        <w:kinsoku/>
        <w:wordWrap/>
        <w:overflowPunct/>
        <w:topLinePunct w:val="0"/>
        <w:autoSpaceDE/>
        <w:autoSpaceDN/>
        <w:bidi w:val="0"/>
        <w:adjustRightInd/>
        <w:spacing w:line="240" w:lineRule="auto"/>
        <w:rPr>
          <w:rFonts w:hint="eastAsia" w:ascii="仿宋" w:hAnsi="仿宋" w:eastAsia="仿宋" w:cs="仿宋"/>
          <w:b/>
          <w:bCs/>
          <w:sz w:val="44"/>
          <w:szCs w:val="44"/>
        </w:rPr>
      </w:pPr>
    </w:p>
    <w:p>
      <w:pPr>
        <w:pStyle w:val="5"/>
        <w:pageBreakBefore w:val="0"/>
        <w:kinsoku/>
        <w:wordWrap/>
        <w:overflowPunct/>
        <w:topLinePunct w:val="0"/>
        <w:autoSpaceDE/>
        <w:autoSpaceDN/>
        <w:bidi w:val="0"/>
        <w:adjustRightInd/>
        <w:spacing w:before="0" w:after="0" w:line="240" w:lineRule="auto"/>
        <w:outlineLvl w:val="9"/>
        <w:rPr>
          <w:rFonts w:hint="eastAsia" w:ascii="仿宋" w:hAnsi="仿宋" w:eastAsia="仿宋" w:cs="仿宋"/>
          <w:b/>
          <w:bCs/>
          <w:sz w:val="44"/>
          <w:szCs w:val="44"/>
        </w:rPr>
      </w:pPr>
    </w:p>
    <w:p>
      <w:pPr>
        <w:pageBreakBefore w:val="0"/>
        <w:kinsoku/>
        <w:wordWrap/>
        <w:overflowPunct/>
        <w:topLinePunct w:val="0"/>
        <w:autoSpaceDE/>
        <w:autoSpaceDN/>
        <w:bidi w:val="0"/>
        <w:adjustRightInd/>
        <w:spacing w:line="240" w:lineRule="auto"/>
        <w:rPr>
          <w:rFonts w:hint="eastAsia" w:ascii="仿宋" w:hAnsi="仿宋" w:eastAsia="仿宋" w:cs="仿宋"/>
          <w:b/>
          <w:bCs/>
          <w:sz w:val="44"/>
          <w:szCs w:val="44"/>
        </w:rPr>
      </w:pPr>
    </w:p>
    <w:p>
      <w:pPr>
        <w:pStyle w:val="5"/>
        <w:pageBreakBefore w:val="0"/>
        <w:kinsoku/>
        <w:wordWrap/>
        <w:overflowPunct/>
        <w:topLinePunct w:val="0"/>
        <w:autoSpaceDE/>
        <w:autoSpaceDN/>
        <w:bidi w:val="0"/>
        <w:adjustRightInd/>
        <w:spacing w:before="0" w:after="0" w:line="240" w:lineRule="auto"/>
        <w:outlineLvl w:val="9"/>
        <w:rPr>
          <w:rFonts w:hint="eastAsia"/>
        </w:rPr>
      </w:pPr>
    </w:p>
    <w:p>
      <w:pPr>
        <w:pageBreakBefore w:val="0"/>
        <w:kinsoku/>
        <w:wordWrap/>
        <w:overflowPunct/>
        <w:topLinePunct w:val="0"/>
        <w:autoSpaceDE/>
        <w:autoSpaceDN/>
        <w:bidi w:val="0"/>
        <w:adjustRightInd/>
        <w:spacing w:line="240" w:lineRule="auto"/>
        <w:rPr>
          <w:rFonts w:hint="eastAsia"/>
        </w:rPr>
      </w:pPr>
    </w:p>
    <w:p>
      <w:pPr>
        <w:pageBreakBefore w:val="0"/>
        <w:tabs>
          <w:tab w:val="left" w:pos="958"/>
          <w:tab w:val="left" w:pos="1078"/>
        </w:tabs>
        <w:kinsoku/>
        <w:wordWrap/>
        <w:overflowPunct/>
        <w:topLinePunct w:val="0"/>
        <w:autoSpaceDE/>
        <w:autoSpaceDN/>
        <w:bidi w:val="0"/>
        <w:adjustRightInd/>
        <w:spacing w:line="240" w:lineRule="auto"/>
        <w:outlineLvl w:val="9"/>
        <w:rPr>
          <w:rFonts w:hint="eastAsia" w:ascii="Times New Roman" w:hAnsi="Times New Roman" w:eastAsia="仿宋_GB2312" w:cs="Times New Roman"/>
          <w:b/>
          <w:bCs/>
          <w:sz w:val="32"/>
          <w:szCs w:val="32"/>
        </w:rPr>
        <w:sectPr>
          <w:headerReference r:id="rId3" w:type="default"/>
          <w:pgSz w:w="11906" w:h="16838"/>
          <w:pgMar w:top="1440" w:right="1800" w:bottom="1440" w:left="1800" w:header="851" w:footer="992" w:gutter="0"/>
          <w:pgNumType w:fmt="decimal"/>
          <w:cols w:space="425" w:num="1"/>
          <w:docGrid w:type="lines" w:linePitch="312" w:charSpace="0"/>
        </w:sectPr>
      </w:pPr>
    </w:p>
    <w:sdt>
      <w:sdtPr>
        <w:rPr>
          <w:rFonts w:ascii="宋体" w:hAnsi="宋体" w:eastAsia="宋体" w:cstheme="minorBidi"/>
          <w:kern w:val="2"/>
          <w:sz w:val="21"/>
          <w:szCs w:val="22"/>
          <w:lang w:val="en-US" w:eastAsia="zh-CN" w:bidi="ar-SA"/>
        </w:rPr>
        <w:id w:val="147476084"/>
        <w15:color w:val="DBDBDB"/>
        <w:docPartObj>
          <w:docPartGallery w:val="Table of Contents"/>
          <w:docPartUnique/>
        </w:docPartObj>
      </w:sdtPr>
      <w:sdtEndPr>
        <w:rPr>
          <w:rFonts w:hint="eastAsia" w:ascii="Times New Roman" w:hAnsi="Times New Roman" w:eastAsia="仿宋_GB2312" w:cs="Times New Roman"/>
          <w:b/>
          <w:bCs/>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313" w:afterLines="100" w:line="240" w:lineRule="auto"/>
            <w:ind w:left="0" w:leftChars="0" w:right="0" w:rightChars="0" w:firstLine="0" w:firstLineChars="0"/>
            <w:jc w:val="center"/>
            <w:textAlignment w:val="auto"/>
            <w:rPr>
              <w:b/>
              <w:bCs/>
              <w:sz w:val="24"/>
              <w:szCs w:val="24"/>
            </w:rPr>
          </w:pPr>
          <w:r>
            <w:rPr>
              <w:rFonts w:ascii="宋体" w:hAnsi="宋体" w:eastAsia="宋体"/>
              <w:b/>
              <w:bCs/>
              <w:sz w:val="24"/>
              <w:szCs w:val="24"/>
            </w:rPr>
            <w:t>目</w:t>
          </w:r>
          <w:r>
            <w:rPr>
              <w:rFonts w:hint="eastAsia" w:ascii="宋体" w:hAnsi="宋体" w:eastAsia="宋体"/>
              <w:b/>
              <w:bCs/>
              <w:sz w:val="24"/>
              <w:szCs w:val="24"/>
              <w:lang w:val="en-US" w:eastAsia="zh-CN"/>
            </w:rPr>
            <w:t xml:space="preserve"> </w:t>
          </w:r>
          <w:r>
            <w:rPr>
              <w:rFonts w:ascii="宋体" w:hAnsi="宋体" w:eastAsia="宋体"/>
              <w:b/>
              <w:bCs/>
              <w:sz w:val="24"/>
              <w:szCs w:val="24"/>
            </w:rPr>
            <w:t>录</w:t>
          </w:r>
        </w:p>
        <w:p>
          <w:pPr>
            <w:jc w:val="distribute"/>
            <w:rPr>
              <w:rFonts w:hint="eastAsia"/>
            </w:rPr>
          </w:pPr>
          <w:r>
            <w:rPr>
              <w:rFonts w:hint="eastAsia" w:ascii="Times New Roman" w:hAnsi="Times New Roman" w:eastAsia="仿宋_GB2312" w:cs="Times New Roman"/>
              <w:b/>
              <w:bCs/>
              <w:sz w:val="32"/>
              <w:szCs w:val="32"/>
            </w:rPr>
            <w:fldChar w:fldCharType="begin"/>
          </w:r>
          <w:r>
            <w:rPr>
              <w:rFonts w:hint="eastAsia" w:ascii="Times New Roman" w:hAnsi="Times New Roman" w:eastAsia="仿宋_GB2312" w:cs="Times New Roman"/>
              <w:b/>
              <w:bCs/>
              <w:sz w:val="32"/>
              <w:szCs w:val="32"/>
            </w:rPr>
            <w:instrText xml:space="preserve">TOC \o "1-2" \h \u </w:instrText>
          </w:r>
          <w:r>
            <w:rPr>
              <w:rFonts w:hint="eastAsia" w:ascii="Times New Roman" w:hAnsi="Times New Roman" w:eastAsia="仿宋_GB2312" w:cs="Times New Roman"/>
              <w:b/>
              <w:bCs/>
              <w:sz w:val="32"/>
              <w:szCs w:val="32"/>
            </w:rPr>
            <w:fldChar w:fldCharType="separate"/>
          </w:r>
          <w:r>
            <w:rPr>
              <w:rFonts w:hint="eastAsia"/>
            </w:rPr>
            <w:t>1.人才培养</w:t>
          </w:r>
          <w:r>
            <w:rPr>
              <w:rFonts w:hint="eastAsia"/>
              <w:lang w:eastAsia="zh-CN"/>
            </w:rPr>
            <w:t>…………………………………………………………………………………………</w:t>
          </w:r>
          <w:r>
            <w:rPr>
              <w:rFonts w:hint="eastAsia"/>
            </w:rPr>
            <w:t>1</w:t>
          </w:r>
        </w:p>
        <w:p>
          <w:pPr>
            <w:jc w:val="distribute"/>
            <w:rPr>
              <w:rFonts w:hint="eastAsia"/>
            </w:rPr>
          </w:pPr>
          <w:r>
            <w:rPr>
              <w:rFonts w:hint="eastAsia"/>
              <w:lang w:val="en-US" w:eastAsia="zh-CN"/>
            </w:rPr>
            <w:t xml:space="preserve">   </w:t>
          </w:r>
          <w:r>
            <w:rPr>
              <w:rFonts w:hint="eastAsia"/>
            </w:rPr>
            <w:t>1.1立德树人</w:t>
          </w:r>
          <w:r>
            <w:rPr>
              <w:rFonts w:hint="eastAsia"/>
              <w:lang w:eastAsia="zh-CN"/>
            </w:rPr>
            <w:t>……………………………………………………………………………………</w:t>
          </w:r>
          <w:r>
            <w:rPr>
              <w:rFonts w:hint="eastAsia"/>
            </w:rPr>
            <w:t>1</w:t>
          </w:r>
        </w:p>
        <w:p>
          <w:pPr>
            <w:jc w:val="distribute"/>
            <w:rPr>
              <w:rFonts w:hint="eastAsia"/>
            </w:rPr>
          </w:pPr>
          <w:r>
            <w:rPr>
              <w:rFonts w:hint="eastAsia"/>
              <w:lang w:val="en-US" w:eastAsia="zh-CN"/>
            </w:rPr>
            <w:t xml:space="preserve">   </w:t>
          </w:r>
          <w:r>
            <w:rPr>
              <w:rFonts w:hint="eastAsia"/>
            </w:rPr>
            <w:t>1.2专业建设</w:t>
          </w:r>
          <w:r>
            <w:rPr>
              <w:rFonts w:hint="eastAsia"/>
              <w:lang w:eastAsia="zh-CN"/>
            </w:rPr>
            <w:t>……………………………………………………………………………………</w:t>
          </w:r>
          <w:r>
            <w:rPr>
              <w:rFonts w:hint="eastAsia"/>
            </w:rPr>
            <w:t>7</w:t>
          </w:r>
        </w:p>
        <w:p>
          <w:pPr>
            <w:jc w:val="distribute"/>
            <w:rPr>
              <w:rFonts w:hint="eastAsia" w:eastAsiaTheme="minorEastAsia"/>
              <w:lang w:eastAsia="zh-CN"/>
            </w:rPr>
          </w:pPr>
          <w:r>
            <w:rPr>
              <w:rFonts w:hint="eastAsia"/>
              <w:lang w:val="en-US" w:eastAsia="zh-CN"/>
            </w:rPr>
            <w:t xml:space="preserve">   </w:t>
          </w:r>
          <w:r>
            <w:rPr>
              <w:rFonts w:hint="eastAsia"/>
            </w:rPr>
            <w:t>1.3多样化成长</w:t>
          </w:r>
          <w:r>
            <w:rPr>
              <w:rFonts w:hint="eastAsia"/>
              <w:lang w:val="en-US" w:eastAsia="zh-CN"/>
            </w:rPr>
            <w:t xml:space="preserve"> </w:t>
          </w:r>
          <w:r>
            <w:rPr>
              <w:rFonts w:hint="eastAsia"/>
              <w:lang w:eastAsia="zh-CN"/>
            </w:rPr>
            <w:t>………………………………………………………………………………</w:t>
          </w:r>
          <w:r>
            <w:rPr>
              <w:rFonts w:hint="eastAsia"/>
            </w:rPr>
            <w:t>1</w:t>
          </w:r>
          <w:r>
            <w:rPr>
              <w:rFonts w:hint="eastAsia"/>
              <w:lang w:val="en-US" w:eastAsia="zh-CN"/>
            </w:rPr>
            <w:t>7</w:t>
          </w:r>
        </w:p>
        <w:p>
          <w:pPr>
            <w:jc w:val="distribute"/>
            <w:rPr>
              <w:rFonts w:hint="eastAsia" w:eastAsiaTheme="minorEastAsia"/>
              <w:lang w:eastAsia="zh-CN"/>
            </w:rPr>
          </w:pPr>
          <w:r>
            <w:rPr>
              <w:rFonts w:hint="eastAsia"/>
              <w:lang w:val="en-US" w:eastAsia="zh-CN"/>
            </w:rPr>
            <w:t xml:space="preserve">   </w:t>
          </w:r>
          <w:r>
            <w:rPr>
              <w:rFonts w:hint="eastAsia"/>
            </w:rPr>
            <w:t>1.4技能成才</w:t>
          </w:r>
          <w:r>
            <w:rPr>
              <w:rFonts w:hint="eastAsia"/>
            </w:rPr>
            <w:tab/>
          </w:r>
          <w:r>
            <w:rPr>
              <w:rFonts w:hint="eastAsia"/>
              <w:lang w:eastAsia="zh-CN"/>
            </w:rPr>
            <w:t>………………………………………………………………………………</w:t>
          </w:r>
          <w:r>
            <w:rPr>
              <w:rFonts w:hint="eastAsia"/>
            </w:rPr>
            <w:t>1</w:t>
          </w:r>
          <w:r>
            <w:rPr>
              <w:rFonts w:hint="eastAsia"/>
              <w:lang w:val="en-US" w:eastAsia="zh-CN"/>
            </w:rPr>
            <w:t>8</w:t>
          </w:r>
        </w:p>
        <w:p>
          <w:pPr>
            <w:jc w:val="distribute"/>
            <w:rPr>
              <w:rFonts w:hint="eastAsia" w:eastAsiaTheme="minorEastAsia"/>
              <w:lang w:eastAsia="zh-CN"/>
            </w:rPr>
          </w:pPr>
          <w:r>
            <w:rPr>
              <w:rFonts w:hint="eastAsia"/>
              <w:lang w:val="en-US" w:eastAsia="zh-CN"/>
            </w:rPr>
            <w:t xml:space="preserve">   </w:t>
          </w:r>
          <w:r>
            <w:rPr>
              <w:rFonts w:hint="eastAsia"/>
            </w:rPr>
            <w:t>1.5职业发展</w:t>
          </w:r>
          <w:r>
            <w:rPr>
              <w:rFonts w:hint="eastAsia"/>
            </w:rPr>
            <w:tab/>
          </w:r>
          <w:r>
            <w:rPr>
              <w:rFonts w:hint="eastAsia"/>
              <w:lang w:eastAsia="zh-CN"/>
            </w:rPr>
            <w:t>………………………………………………………………………………</w:t>
          </w:r>
          <w:r>
            <w:rPr>
              <w:rFonts w:hint="eastAsia"/>
            </w:rPr>
            <w:t>2</w:t>
          </w:r>
          <w:r>
            <w:rPr>
              <w:rFonts w:hint="eastAsia"/>
              <w:lang w:val="en-US" w:eastAsia="zh-CN"/>
            </w:rPr>
            <w:t>3</w:t>
          </w:r>
        </w:p>
        <w:p>
          <w:pPr>
            <w:jc w:val="distribute"/>
            <w:rPr>
              <w:rFonts w:hint="eastAsia" w:eastAsiaTheme="minorEastAsia"/>
              <w:lang w:eastAsia="zh-CN"/>
            </w:rPr>
          </w:pPr>
          <w:r>
            <w:rPr>
              <w:rFonts w:hint="eastAsia"/>
            </w:rPr>
            <w:t>2.服务贡献</w:t>
          </w:r>
          <w:r>
            <w:rPr>
              <w:rFonts w:hint="eastAsia"/>
              <w:lang w:eastAsia="zh-CN"/>
            </w:rPr>
            <w:t>………………………………………………………………………………………</w:t>
          </w:r>
          <w:r>
            <w:rPr>
              <w:rFonts w:hint="eastAsia"/>
            </w:rPr>
            <w:t>2</w:t>
          </w:r>
          <w:r>
            <w:rPr>
              <w:rFonts w:hint="eastAsia"/>
              <w:lang w:val="en-US" w:eastAsia="zh-CN"/>
            </w:rPr>
            <w:t>5</w:t>
          </w:r>
        </w:p>
        <w:p>
          <w:pPr>
            <w:jc w:val="distribute"/>
            <w:rPr>
              <w:rFonts w:hint="eastAsia" w:eastAsiaTheme="minorEastAsia"/>
              <w:lang w:eastAsia="zh-CN"/>
            </w:rPr>
          </w:pPr>
          <w:r>
            <w:rPr>
              <w:rFonts w:hint="eastAsia"/>
              <w:lang w:val="en-US" w:eastAsia="zh-CN"/>
            </w:rPr>
            <w:t xml:space="preserve">   </w:t>
          </w:r>
          <w:r>
            <w:rPr>
              <w:rFonts w:hint="eastAsia"/>
            </w:rPr>
            <w:t>2.1服务产业发展</w:t>
          </w:r>
          <w:r>
            <w:rPr>
              <w:rFonts w:hint="eastAsia"/>
            </w:rPr>
            <w:tab/>
          </w:r>
          <w:r>
            <w:rPr>
              <w:rFonts w:hint="eastAsia"/>
              <w:lang w:eastAsia="zh-CN"/>
            </w:rPr>
            <w:t>…………………………………………………………………………</w:t>
          </w:r>
          <w:r>
            <w:rPr>
              <w:rFonts w:hint="eastAsia"/>
            </w:rPr>
            <w:t>2</w:t>
          </w:r>
          <w:r>
            <w:rPr>
              <w:rFonts w:hint="eastAsia"/>
              <w:lang w:val="en-US" w:eastAsia="zh-CN"/>
            </w:rPr>
            <w:t>5</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2.2服务国家战略</w:t>
          </w:r>
          <w:r>
            <w:rPr>
              <w:rFonts w:hint="eastAsia"/>
            </w:rPr>
            <w:tab/>
          </w:r>
          <w:r>
            <w:rPr>
              <w:rFonts w:hint="eastAsia"/>
              <w:lang w:eastAsia="zh-CN"/>
            </w:rPr>
            <w:t>…………………………………………………………………………</w:t>
          </w:r>
          <w:r>
            <w:rPr>
              <w:rFonts w:hint="eastAsia"/>
            </w:rPr>
            <w:t>2</w:t>
          </w:r>
          <w:r>
            <w:rPr>
              <w:rFonts w:hint="eastAsia"/>
              <w:lang w:val="en-US" w:eastAsia="zh-CN"/>
            </w:rPr>
            <w:t>5</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2.3服务民生福祉</w:t>
          </w:r>
          <w:r>
            <w:rPr>
              <w:rFonts w:hint="eastAsia"/>
            </w:rPr>
            <w:tab/>
          </w:r>
          <w:r>
            <w:rPr>
              <w:rFonts w:hint="eastAsia"/>
              <w:lang w:eastAsia="zh-CN"/>
            </w:rPr>
            <w:t>…………………………………………………………………………</w:t>
          </w:r>
          <w:r>
            <w:rPr>
              <w:rFonts w:hint="eastAsia"/>
            </w:rPr>
            <w:t>2</w:t>
          </w:r>
          <w:r>
            <w:rPr>
              <w:rFonts w:hint="eastAsia"/>
              <w:lang w:val="en-US" w:eastAsia="zh-CN"/>
            </w:rPr>
            <w:t>7</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2.4特色创新</w:t>
          </w:r>
          <w:r>
            <w:rPr>
              <w:rFonts w:hint="eastAsia"/>
            </w:rPr>
            <w:tab/>
          </w:r>
          <w:r>
            <w:rPr>
              <w:rFonts w:hint="eastAsia"/>
              <w:lang w:eastAsia="zh-CN"/>
            </w:rPr>
            <w:t>………………………………………………………………………………</w:t>
          </w:r>
          <w:r>
            <w:rPr>
              <w:rFonts w:hint="eastAsia"/>
            </w:rPr>
            <w:t>2</w:t>
          </w:r>
          <w:r>
            <w:rPr>
              <w:rFonts w:hint="eastAsia"/>
              <w:lang w:val="en-US" w:eastAsia="zh-CN"/>
            </w:rPr>
            <w:t>9</w:t>
          </w:r>
        </w:p>
        <w:p>
          <w:pPr>
            <w:jc w:val="distribute"/>
            <w:rPr>
              <w:rFonts w:hint="default" w:eastAsiaTheme="minorEastAsia"/>
              <w:lang w:val="en-US" w:eastAsia="zh-CN"/>
            </w:rPr>
          </w:pPr>
          <w:r>
            <w:rPr>
              <w:rFonts w:hint="eastAsia"/>
            </w:rPr>
            <w:t>3.文化传承</w:t>
          </w:r>
          <w:r>
            <w:rPr>
              <w:rFonts w:hint="eastAsia"/>
              <w:lang w:eastAsia="zh-CN"/>
            </w:rPr>
            <w:t>………………………………………………………………………………………</w:t>
          </w:r>
          <w:r>
            <w:rPr>
              <w:rFonts w:hint="eastAsia"/>
              <w:lang w:val="en-US" w:eastAsia="zh-CN"/>
            </w:rPr>
            <w:t>30</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default" w:eastAsiaTheme="minorEastAsia"/>
              <w:lang w:val="en-US" w:eastAsia="zh-CN"/>
            </w:rPr>
          </w:pPr>
          <w:r>
            <w:rPr>
              <w:rFonts w:hint="eastAsia"/>
            </w:rPr>
            <w:t>3.1传承红色基因</w:t>
          </w:r>
          <w:r>
            <w:rPr>
              <w:rFonts w:hint="eastAsia"/>
            </w:rPr>
            <w:tab/>
          </w:r>
          <w:r>
            <w:rPr>
              <w:rFonts w:hint="eastAsia"/>
              <w:lang w:eastAsia="zh-CN"/>
            </w:rPr>
            <w:t>…………………………………………………………………………</w:t>
          </w:r>
          <w:r>
            <w:rPr>
              <w:rFonts w:hint="eastAsia"/>
              <w:lang w:val="en-US" w:eastAsia="zh-CN"/>
            </w:rPr>
            <w:t>30</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3.2传承传统文化</w:t>
          </w:r>
          <w:r>
            <w:rPr>
              <w:rFonts w:hint="eastAsia"/>
            </w:rPr>
            <w:tab/>
          </w:r>
          <w:r>
            <w:rPr>
              <w:rFonts w:hint="eastAsia"/>
              <w:lang w:eastAsia="zh-CN"/>
            </w:rPr>
            <w:t>…………………………………………………………………………</w:t>
          </w:r>
          <w:r>
            <w:rPr>
              <w:rFonts w:hint="eastAsia"/>
            </w:rPr>
            <w:t>3</w:t>
          </w:r>
          <w:r>
            <w:rPr>
              <w:rFonts w:hint="eastAsia"/>
              <w:lang w:val="en-US" w:eastAsia="zh-CN"/>
            </w:rPr>
            <w:t>3</w:t>
          </w:r>
        </w:p>
        <w:p>
          <w:pPr>
            <w:jc w:val="distribute"/>
            <w:rPr>
              <w:rFonts w:hint="eastAsia" w:eastAsiaTheme="minorEastAsia"/>
              <w:lang w:val="en-US" w:eastAsia="zh-CN"/>
            </w:rPr>
          </w:pPr>
          <w:r>
            <w:rPr>
              <w:rFonts w:hint="eastAsia"/>
            </w:rPr>
            <w:t>4.产教融合</w:t>
          </w:r>
          <w:r>
            <w:rPr>
              <w:rFonts w:hint="eastAsia"/>
              <w:lang w:eastAsia="zh-CN"/>
            </w:rPr>
            <w:t>………………………………………………………………………………………</w:t>
          </w:r>
          <w:r>
            <w:rPr>
              <w:rFonts w:hint="eastAsia"/>
            </w:rPr>
            <w:t>3</w:t>
          </w:r>
          <w:r>
            <w:rPr>
              <w:rFonts w:hint="eastAsia"/>
              <w:lang w:val="en-US" w:eastAsia="zh-CN"/>
            </w:rPr>
            <w:t>5</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4.1合作机制建设</w:t>
          </w:r>
          <w:r>
            <w:rPr>
              <w:rFonts w:hint="eastAsia"/>
              <w:lang w:eastAsia="zh-CN"/>
            </w:rPr>
            <w:t>…………………………………………………………………………</w:t>
          </w:r>
          <w:r>
            <w:rPr>
              <w:rFonts w:hint="eastAsia"/>
            </w:rPr>
            <w:t>3</w:t>
          </w:r>
          <w:r>
            <w:rPr>
              <w:rFonts w:hint="eastAsia"/>
              <w:lang w:val="en-US" w:eastAsia="zh-CN"/>
            </w:rPr>
            <w:t>5</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4.2师资队伍建设</w:t>
          </w:r>
          <w:r>
            <w:rPr>
              <w:rFonts w:hint="eastAsia"/>
              <w:lang w:eastAsia="zh-CN"/>
            </w:rPr>
            <w:t>……………………………………………………………………………</w:t>
          </w:r>
          <w:r>
            <w:rPr>
              <w:rFonts w:hint="eastAsia"/>
            </w:rPr>
            <w:t>3</w:t>
          </w:r>
          <w:r>
            <w:rPr>
              <w:rFonts w:hint="eastAsia"/>
              <w:lang w:val="en-US" w:eastAsia="zh-CN"/>
            </w:rPr>
            <w:t>6</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4.3校企双元育人</w:t>
          </w:r>
          <w:r>
            <w:rPr>
              <w:rFonts w:hint="eastAsia"/>
              <w:lang w:eastAsia="zh-CN"/>
            </w:rPr>
            <w:t>……………………………………………………………………………</w:t>
          </w:r>
          <w:r>
            <w:rPr>
              <w:rFonts w:hint="eastAsia"/>
            </w:rPr>
            <w:t>3</w:t>
          </w:r>
          <w:r>
            <w:rPr>
              <w:rFonts w:hint="eastAsia"/>
              <w:lang w:val="en-US" w:eastAsia="zh-CN"/>
            </w:rPr>
            <w:t>7</w:t>
          </w:r>
        </w:p>
        <w:p>
          <w:pPr>
            <w:jc w:val="distribute"/>
            <w:rPr>
              <w:rFonts w:hint="eastAsia" w:eastAsiaTheme="minorEastAsia"/>
              <w:lang w:eastAsia="zh-CN"/>
            </w:rPr>
          </w:pPr>
          <w:r>
            <w:rPr>
              <w:rFonts w:hint="eastAsia"/>
            </w:rPr>
            <w:t>5.发展保障</w:t>
          </w:r>
          <w:r>
            <w:rPr>
              <w:rFonts w:hint="eastAsia"/>
              <w:lang w:eastAsia="zh-CN"/>
            </w:rPr>
            <w:t>………………………………………………………………………………………</w:t>
          </w:r>
          <w:r>
            <w:rPr>
              <w:rFonts w:hint="eastAsia"/>
            </w:rPr>
            <w:t>3</w:t>
          </w:r>
          <w:r>
            <w:rPr>
              <w:rFonts w:hint="eastAsia"/>
              <w:lang w:val="en-US" w:eastAsia="zh-CN"/>
            </w:rPr>
            <w:t>7</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5.1党建引领</w:t>
          </w:r>
          <w:r>
            <w:rPr>
              <w:rFonts w:hint="eastAsia"/>
              <w:lang w:eastAsia="zh-CN"/>
            </w:rPr>
            <w:t>…………………………………………………………………………………</w:t>
          </w:r>
          <w:r>
            <w:rPr>
              <w:rFonts w:hint="eastAsia"/>
            </w:rPr>
            <w:t>3</w:t>
          </w:r>
          <w:r>
            <w:rPr>
              <w:rFonts w:hint="eastAsia"/>
              <w:lang w:val="en-US" w:eastAsia="zh-CN"/>
            </w:rPr>
            <w:t>7</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5.2政策保障</w:t>
          </w:r>
          <w:r>
            <w:rPr>
              <w:rFonts w:hint="eastAsia"/>
              <w:lang w:eastAsia="zh-CN"/>
            </w:rPr>
            <w:t>…………………………………………………………………………………</w:t>
          </w:r>
          <w:r>
            <w:rPr>
              <w:rFonts w:hint="eastAsia"/>
            </w:rPr>
            <w:t>3</w:t>
          </w:r>
          <w:r>
            <w:rPr>
              <w:rFonts w:hint="eastAsia"/>
              <w:lang w:val="en-US" w:eastAsia="zh-CN"/>
            </w:rPr>
            <w:t>8</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lang w:val="en-US" w:eastAsia="zh-CN"/>
            </w:rPr>
          </w:pPr>
          <w:r>
            <w:rPr>
              <w:rFonts w:hint="eastAsia"/>
            </w:rPr>
            <w:t>5.3条件保障</w:t>
          </w:r>
          <w:r>
            <w:rPr>
              <w:rFonts w:hint="eastAsia"/>
              <w:lang w:eastAsia="zh-CN"/>
            </w:rPr>
            <w:t>………………………………………………………………………………</w:t>
          </w:r>
          <w:r>
            <w:rPr>
              <w:rFonts w:hint="eastAsia"/>
              <w:lang w:val="en-US" w:eastAsia="zh-CN"/>
            </w:rPr>
            <w:t>41</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default" w:eastAsiaTheme="minorEastAsia"/>
              <w:lang w:val="en-US" w:eastAsia="zh-CN"/>
            </w:rPr>
          </w:pPr>
          <w:r>
            <w:rPr>
              <w:rFonts w:hint="eastAsia"/>
            </w:rPr>
            <w:t>5.4质量保障</w:t>
          </w:r>
          <w:r>
            <w:rPr>
              <w:rFonts w:hint="eastAsia"/>
              <w:lang w:eastAsia="zh-CN"/>
            </w:rPr>
            <w:t>…………………………………………………………………………………</w:t>
          </w:r>
          <w:r>
            <w:rPr>
              <w:rFonts w:hint="eastAsia"/>
              <w:lang w:val="en-US" w:eastAsia="zh-CN"/>
            </w:rPr>
            <w:t>41</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val="en-US" w:eastAsia="zh-CN"/>
            </w:rPr>
          </w:pPr>
          <w:r>
            <w:rPr>
              <w:rFonts w:hint="eastAsia"/>
            </w:rPr>
            <w:t>5.5经费保障</w:t>
          </w:r>
          <w:r>
            <w:rPr>
              <w:rFonts w:hint="eastAsia"/>
              <w:lang w:eastAsia="zh-CN"/>
            </w:rPr>
            <w:t>…………………………………………………………………………………</w:t>
          </w:r>
          <w:r>
            <w:rPr>
              <w:rFonts w:hint="eastAsia"/>
            </w:rPr>
            <w:t>4</w:t>
          </w:r>
          <w:r>
            <w:rPr>
              <w:rFonts w:hint="eastAsia"/>
              <w:lang w:val="en-US" w:eastAsia="zh-CN"/>
            </w:rPr>
            <w:t>2</w:t>
          </w:r>
        </w:p>
        <w:p>
          <w:pPr>
            <w:jc w:val="distribute"/>
            <w:rPr>
              <w:rFonts w:hint="eastAsia" w:eastAsiaTheme="minorEastAsia"/>
              <w:lang w:eastAsia="zh-CN"/>
            </w:rPr>
          </w:pPr>
          <w:r>
            <w:rPr>
              <w:rFonts w:hint="eastAsia"/>
            </w:rPr>
            <w:t>6.面临挑战</w:t>
          </w:r>
          <w:r>
            <w:rPr>
              <w:rFonts w:hint="eastAsia"/>
              <w:lang w:eastAsia="zh-CN"/>
            </w:rPr>
            <w:t>………………………………………………………………………………………</w:t>
          </w:r>
          <w:r>
            <w:rPr>
              <w:rFonts w:hint="eastAsia"/>
            </w:rPr>
            <w:t>4</w:t>
          </w:r>
          <w:r>
            <w:rPr>
              <w:rFonts w:hint="eastAsia"/>
              <w:lang w:val="en-US" w:eastAsia="zh-CN"/>
            </w:rPr>
            <w:t>2</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eastAsia="zh-CN"/>
            </w:rPr>
          </w:pPr>
          <w:r>
            <w:rPr>
              <w:rFonts w:hint="eastAsia"/>
            </w:rPr>
            <w:t>6.1存在问题</w:t>
          </w:r>
          <w:r>
            <w:rPr>
              <w:rFonts w:hint="eastAsia"/>
              <w:lang w:eastAsia="zh-CN"/>
            </w:rPr>
            <w:t>…………………………………………………………………………………</w:t>
          </w:r>
          <w:r>
            <w:rPr>
              <w:rFonts w:hint="eastAsia"/>
            </w:rPr>
            <w:t>4</w:t>
          </w:r>
          <w:r>
            <w:rPr>
              <w:rFonts w:hint="eastAsia"/>
              <w:lang w:val="en-US" w:eastAsia="zh-CN"/>
            </w:rPr>
            <w:t>2</w:t>
          </w:r>
        </w:p>
        <w:p>
          <w:pPr>
            <w:keepNext w:val="0"/>
            <w:keepLines w:val="0"/>
            <w:pageBreakBefore w:val="0"/>
            <w:widowControl w:val="0"/>
            <w:kinsoku/>
            <w:wordWrap/>
            <w:overflowPunct/>
            <w:topLinePunct w:val="0"/>
            <w:autoSpaceDE/>
            <w:autoSpaceDN/>
            <w:bidi w:val="0"/>
            <w:adjustRightInd/>
            <w:snapToGrid/>
            <w:ind w:firstLine="336" w:firstLineChars="160"/>
            <w:jc w:val="distribute"/>
            <w:textAlignment w:val="auto"/>
            <w:rPr>
              <w:rFonts w:hint="eastAsia" w:eastAsiaTheme="minorEastAsia"/>
              <w:lang w:val="en-US" w:eastAsia="zh-CN"/>
            </w:rPr>
          </w:pPr>
          <w:r>
            <w:rPr>
              <w:rFonts w:hint="eastAsia"/>
            </w:rPr>
            <w:t>6.2相应对策</w:t>
          </w:r>
          <w:r>
            <w:rPr>
              <w:rFonts w:hint="eastAsia"/>
              <w:lang w:eastAsia="zh-CN"/>
            </w:rPr>
            <w:t>…………………………………………………………………………………</w:t>
          </w:r>
          <w:r>
            <w:rPr>
              <w:rFonts w:hint="eastAsia"/>
            </w:rPr>
            <w:t>4</w:t>
          </w:r>
          <w:r>
            <w:rPr>
              <w:rFonts w:hint="eastAsia"/>
              <w:lang w:val="en-US" w:eastAsia="zh-CN"/>
            </w:rPr>
            <w:t>3</w:t>
          </w:r>
        </w:p>
        <w:p>
          <w:pPr>
            <w:jc w:val="distribute"/>
            <w:rPr>
              <w:rFonts w:hint="eastAsia"/>
            </w:rPr>
          </w:pPr>
          <w:r>
            <w:rPr>
              <w:rFonts w:hint="eastAsia"/>
            </w:rPr>
            <w:t>附表1</w:t>
          </w:r>
          <w:r>
            <w:rPr>
              <w:rFonts w:hint="eastAsia" w:ascii="宋体" w:hAnsi="宋体" w:eastAsia="宋体" w:cs="宋体"/>
              <w:b w:val="0"/>
              <w:bCs w:val="0"/>
              <w:i w:val="0"/>
              <w:iCs w:val="0"/>
              <w:color w:val="000000"/>
              <w:kern w:val="0"/>
              <w:sz w:val="21"/>
              <w:szCs w:val="21"/>
              <w:u w:val="none"/>
              <w:lang w:val="en-US" w:eastAsia="zh-CN" w:bidi="ar"/>
            </w:rPr>
            <w:t>人才培养质量计分卡</w:t>
          </w:r>
          <w:r>
            <w:rPr>
              <w:rFonts w:hint="eastAsia"/>
              <w:lang w:eastAsia="zh-CN"/>
            </w:rPr>
            <w:t>…………………………………………………………………</w:t>
          </w:r>
          <w:r>
            <w:rPr>
              <w:rFonts w:hint="eastAsia"/>
            </w:rPr>
            <w:t>44</w:t>
          </w:r>
        </w:p>
        <w:p>
          <w:pPr>
            <w:jc w:val="distribute"/>
            <w:rPr>
              <w:rFonts w:hint="eastAsia"/>
            </w:rPr>
          </w:pPr>
          <w:r>
            <w:rPr>
              <w:rFonts w:hint="eastAsia"/>
            </w:rPr>
            <w:t>附表2</w:t>
          </w:r>
          <w:r>
            <w:rPr>
              <w:rFonts w:hint="eastAsia" w:ascii="宋体" w:hAnsi="宋体" w:eastAsia="宋体" w:cs="宋体"/>
              <w:b w:val="0"/>
              <w:bCs w:val="0"/>
              <w:i w:val="0"/>
              <w:iCs w:val="0"/>
              <w:color w:val="000000"/>
              <w:kern w:val="0"/>
              <w:sz w:val="21"/>
              <w:szCs w:val="21"/>
              <w:u w:val="none"/>
              <w:lang w:val="en-US" w:eastAsia="zh-CN" w:bidi="ar"/>
            </w:rPr>
            <w:t>教学资源表</w:t>
          </w:r>
          <w:r>
            <w:rPr>
              <w:rFonts w:hint="eastAsia"/>
              <w:lang w:eastAsia="zh-CN"/>
            </w:rPr>
            <w:t>………………………………………………………………………………</w:t>
          </w:r>
          <w:r>
            <w:rPr>
              <w:rFonts w:hint="eastAsia"/>
            </w:rPr>
            <w:t>45</w:t>
          </w:r>
        </w:p>
        <w:p>
          <w:pPr>
            <w:jc w:val="distribute"/>
            <w:rPr>
              <w:rFonts w:hint="eastAsia"/>
            </w:rPr>
          </w:pPr>
          <w:r>
            <w:rPr>
              <w:rFonts w:hint="eastAsia"/>
            </w:rPr>
            <w:t>附表3</w:t>
          </w:r>
          <w:r>
            <w:rPr>
              <w:rFonts w:hint="eastAsia" w:ascii="宋体" w:hAnsi="宋体" w:eastAsia="宋体" w:cs="宋体"/>
              <w:b w:val="0"/>
              <w:bCs w:val="0"/>
              <w:i w:val="0"/>
              <w:iCs w:val="0"/>
              <w:color w:val="000000"/>
              <w:kern w:val="0"/>
              <w:sz w:val="21"/>
              <w:szCs w:val="21"/>
              <w:u w:val="none"/>
              <w:lang w:val="en-US" w:eastAsia="zh-CN" w:bidi="ar"/>
            </w:rPr>
            <w:t>落实政策表</w:t>
          </w:r>
          <w:r>
            <w:rPr>
              <w:rFonts w:hint="eastAsia"/>
              <w:lang w:eastAsia="zh-CN"/>
            </w:rPr>
            <w:t>………………………………………………………………………………</w:t>
          </w:r>
          <w:r>
            <w:rPr>
              <w:rFonts w:hint="eastAsia"/>
            </w:rPr>
            <w:t>47</w:t>
          </w:r>
        </w:p>
        <w:p>
          <w:pPr>
            <w:jc w:val="distribute"/>
          </w:pPr>
          <w:r>
            <w:rPr>
              <w:rFonts w:hint="eastAsia"/>
            </w:rPr>
            <w:t>附表4</w:t>
          </w:r>
          <w:r>
            <w:rPr>
              <w:rFonts w:hint="default" w:ascii="Calibri" w:hAnsi="Calibri" w:eastAsia="宋体" w:cs="Calibri"/>
              <w:b w:val="0"/>
              <w:bCs w:val="0"/>
              <w:i w:val="0"/>
              <w:iCs w:val="0"/>
              <w:color w:val="000000"/>
              <w:kern w:val="0"/>
              <w:sz w:val="21"/>
              <w:szCs w:val="21"/>
              <w:u w:val="none"/>
              <w:lang w:val="en-US" w:eastAsia="zh-CN" w:bidi="ar"/>
            </w:rPr>
            <w:t>服务贡献表</w:t>
          </w:r>
          <w:r>
            <w:rPr>
              <w:rFonts w:hint="eastAsia"/>
              <w:lang w:eastAsia="zh-CN"/>
            </w:rPr>
            <w:t>………………………………………………………………………………</w:t>
          </w:r>
          <w:r>
            <w:rPr>
              <w:rFonts w:hint="eastAsia"/>
            </w:rPr>
            <w:t>49</w:t>
          </w:r>
        </w:p>
        <w:p>
          <w:pPr>
            <w:jc w:val="distribute"/>
            <w:rPr>
              <w:rFonts w:hint="default" w:eastAsiaTheme="minorEastAsia"/>
              <w:lang w:val="en-US" w:eastAsia="zh-CN"/>
            </w:rPr>
          </w:pPr>
          <w:r>
            <w:rPr>
              <w:rFonts w:hint="eastAsia"/>
            </w:rPr>
            <w:t>附表</w:t>
          </w:r>
          <w:r>
            <w:rPr>
              <w:rFonts w:hint="eastAsia"/>
              <w:lang w:val="en-US" w:eastAsia="zh-CN"/>
            </w:rPr>
            <w:t>5</w:t>
          </w:r>
          <w:r>
            <w:rPr>
              <w:rFonts w:hint="eastAsia" w:ascii="宋体" w:hAnsi="宋体" w:eastAsia="宋体" w:cs="宋体"/>
              <w:b w:val="0"/>
              <w:bCs w:val="0"/>
              <w:i w:val="0"/>
              <w:iCs w:val="0"/>
              <w:color w:val="000000"/>
              <w:kern w:val="0"/>
              <w:sz w:val="21"/>
              <w:szCs w:val="21"/>
              <w:u w:val="none"/>
              <w:lang w:val="en-US" w:eastAsia="zh-CN" w:bidi="ar"/>
            </w:rPr>
            <w:t>满意度调查表</w:t>
          </w:r>
          <w:r>
            <w:rPr>
              <w:rFonts w:hint="eastAsia"/>
              <w:lang w:eastAsia="zh-CN"/>
            </w:rPr>
            <w:t>…………………………………………………………………………</w:t>
          </w:r>
          <w:r>
            <w:rPr>
              <w:rFonts w:hint="eastAsia"/>
              <w:lang w:val="en-US" w:eastAsia="zh-CN"/>
            </w:rPr>
            <w:t>50</w:t>
          </w:r>
        </w:p>
        <w:p/>
        <w:p>
          <w:pPr>
            <w:pageBreakBefore w:val="0"/>
            <w:tabs>
              <w:tab w:val="left" w:pos="958"/>
              <w:tab w:val="left" w:pos="1078"/>
            </w:tabs>
            <w:kinsoku/>
            <w:wordWrap/>
            <w:overflowPunct/>
            <w:topLinePunct w:val="0"/>
            <w:autoSpaceDE/>
            <w:autoSpaceDN/>
            <w:bidi w:val="0"/>
            <w:adjustRightInd/>
            <w:spacing w:line="240" w:lineRule="auto"/>
            <w:outlineLvl w:val="9"/>
            <w:rPr>
              <w:rFonts w:hint="eastAsia" w:ascii="Times New Roman" w:hAnsi="Times New Roman" w:eastAsia="仿宋_GB2312" w:cs="Times New Roman"/>
              <w:b/>
              <w:bCs/>
              <w:sz w:val="32"/>
              <w:szCs w:val="32"/>
            </w:rPr>
          </w:pPr>
          <w:r>
            <w:rPr>
              <w:rFonts w:hint="eastAsia" w:ascii="Times New Roman" w:hAnsi="Times New Roman" w:eastAsia="仿宋_GB2312" w:cs="Times New Roman"/>
              <w:bCs/>
              <w:szCs w:val="32"/>
            </w:rPr>
            <w:fldChar w:fldCharType="end"/>
          </w:r>
        </w:p>
      </w:sdtContent>
    </w:sdt>
    <w:p>
      <w:pPr>
        <w:pageBreakBefore w:val="0"/>
        <w:kinsoku/>
        <w:wordWrap/>
        <w:overflowPunct/>
        <w:topLinePunct w:val="0"/>
        <w:autoSpaceDE/>
        <w:autoSpaceDN/>
        <w:bidi w:val="0"/>
        <w:adjustRightInd/>
        <w:spacing w:line="240" w:lineRule="auto"/>
        <w:rPr>
          <w:rFonts w:hint="eastAsia" w:ascii="华文仿宋" w:hAnsi="华文仿宋" w:eastAsia="华文仿宋"/>
          <w:sz w:val="24"/>
          <w:szCs w:val="24"/>
          <w:lang w:val="en-US" w:eastAsia="zh-CN"/>
        </w:rPr>
      </w:pPr>
    </w:p>
    <w:p>
      <w:pPr>
        <w:pageBreakBefore w:val="0"/>
        <w:kinsoku/>
        <w:wordWrap/>
        <w:overflowPunct/>
        <w:topLinePunct w:val="0"/>
        <w:autoSpaceDE/>
        <w:autoSpaceDN/>
        <w:bidi w:val="0"/>
        <w:adjustRightInd/>
        <w:spacing w:line="240" w:lineRule="auto"/>
        <w:rPr>
          <w:rFonts w:hint="eastAsia" w:ascii="华文仿宋" w:hAnsi="华文仿宋" w:eastAsia="华文仿宋"/>
          <w:sz w:val="24"/>
          <w:szCs w:val="24"/>
        </w:rPr>
      </w:pPr>
    </w:p>
    <w:p>
      <w:pPr>
        <w:pStyle w:val="5"/>
        <w:pageBreakBefore w:val="0"/>
        <w:kinsoku/>
        <w:wordWrap/>
        <w:overflowPunct/>
        <w:topLinePunct w:val="0"/>
        <w:autoSpaceDE/>
        <w:autoSpaceDN/>
        <w:bidi w:val="0"/>
        <w:adjustRightInd/>
        <w:spacing w:before="0" w:after="0" w:line="240" w:lineRule="auto"/>
        <w:outlineLvl w:val="9"/>
        <w:rPr>
          <w:rFonts w:hint="eastAsia" w:ascii="华文仿宋" w:hAnsi="华文仿宋" w:eastAsia="华文仿宋"/>
          <w:sz w:val="24"/>
          <w:szCs w:val="24"/>
        </w:rPr>
      </w:pPr>
    </w:p>
    <w:p>
      <w:pPr>
        <w:pageBreakBefore w:val="0"/>
        <w:kinsoku/>
        <w:wordWrap/>
        <w:overflowPunct/>
        <w:topLinePunct w:val="0"/>
        <w:autoSpaceDE/>
        <w:autoSpaceDN/>
        <w:bidi w:val="0"/>
        <w:adjustRightInd/>
        <w:spacing w:line="240" w:lineRule="auto"/>
        <w:rPr>
          <w:rFonts w:hint="eastAsia" w:ascii="华文仿宋" w:hAnsi="华文仿宋" w:eastAsia="华文仿宋"/>
          <w:sz w:val="24"/>
          <w:szCs w:val="24"/>
        </w:rPr>
      </w:pPr>
    </w:p>
    <w:p>
      <w:pPr>
        <w:spacing w:before="0" w:beforeLines="0" w:after="0" w:afterLines="0" w:line="240" w:lineRule="auto"/>
        <w:ind w:left="0" w:leftChars="0" w:right="0" w:rightChars="0" w:firstLine="0" w:firstLineChars="0"/>
        <w:jc w:val="center"/>
      </w:pPr>
    </w:p>
    <w:sdt>
      <w:sdtPr>
        <w:rPr>
          <w:rFonts w:ascii="宋体" w:hAnsi="宋体" w:eastAsia="宋体" w:cstheme="minorBidi"/>
          <w:b/>
          <w:bCs/>
          <w:kern w:val="2"/>
          <w:sz w:val="24"/>
          <w:szCs w:val="24"/>
          <w:lang w:val="en-US" w:eastAsia="zh-CN" w:bidi="ar-SA"/>
        </w:rPr>
        <w:id w:val="147472378"/>
        <w15:color w:val="DBDBDB"/>
        <w:docPartObj>
          <w:docPartGallery w:val="Table of Contents"/>
          <w:docPartUnique/>
        </w:docPartObj>
      </w:sdtPr>
      <w:sdtEndPr>
        <w:rPr>
          <w:rFonts w:hint="eastAsia" w:ascii="华文仿宋" w:hAnsi="华文仿宋" w:eastAsia="华文仿宋" w:cstheme="minorBidi"/>
          <w:b/>
          <w:bCs/>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313" w:afterLines="100" w:line="240" w:lineRule="auto"/>
            <w:ind w:left="0" w:leftChars="0" w:right="0" w:rightChars="0" w:firstLine="0" w:firstLineChars="0"/>
            <w:jc w:val="center"/>
            <w:textAlignment w:val="auto"/>
            <w:rPr>
              <w:b/>
              <w:bCs/>
              <w:sz w:val="24"/>
              <w:szCs w:val="24"/>
            </w:rPr>
          </w:pPr>
          <w:r>
            <w:rPr>
              <w:rFonts w:hint="eastAsia" w:ascii="宋体" w:hAnsi="宋体" w:eastAsia="宋体" w:cstheme="minorBidi"/>
              <w:b/>
              <w:bCs/>
              <w:kern w:val="2"/>
              <w:sz w:val="24"/>
              <w:szCs w:val="24"/>
              <w:lang w:val="en-US" w:eastAsia="zh-CN" w:bidi="ar-SA"/>
            </w:rPr>
            <w:t>图</w:t>
          </w:r>
          <w:r>
            <w:rPr>
              <w:rFonts w:ascii="宋体" w:hAnsi="宋体" w:eastAsia="宋体"/>
              <w:b/>
              <w:bCs/>
              <w:sz w:val="24"/>
              <w:szCs w:val="24"/>
            </w:rPr>
            <w:t>目录</w:t>
          </w:r>
        </w:p>
        <w:p>
          <w:pPr>
            <w:jc w:val="distribute"/>
            <w:rPr>
              <w:rFonts w:hint="eastAsia"/>
            </w:rPr>
          </w:pPr>
          <w:r>
            <w:rPr>
              <w:rFonts w:hint="eastAsia"/>
            </w:rPr>
            <w:t>图1-1：2023-2024学年度学生会换届选举</w:t>
          </w:r>
          <w:r>
            <w:rPr>
              <w:rFonts w:hint="eastAsia"/>
              <w:lang w:eastAsia="zh-CN"/>
            </w:rPr>
            <w:t>………………………………………………………</w:t>
          </w:r>
          <w:r>
            <w:rPr>
              <w:rFonts w:hint="eastAsia"/>
            </w:rPr>
            <w:t>1</w:t>
          </w:r>
        </w:p>
        <w:p>
          <w:pPr>
            <w:jc w:val="distribute"/>
            <w:rPr>
              <w:rFonts w:hint="eastAsia"/>
            </w:rPr>
          </w:pPr>
          <w:r>
            <w:rPr>
              <w:rFonts w:hint="eastAsia"/>
            </w:rPr>
            <w:t>图1-2：宿舍管理制度</w:t>
          </w:r>
          <w:r>
            <w:rPr>
              <w:rFonts w:hint="eastAsia"/>
              <w:lang w:eastAsia="zh-CN"/>
            </w:rPr>
            <w:t>……………………………………………………………………………</w:t>
          </w:r>
          <w:r>
            <w:rPr>
              <w:rFonts w:hint="eastAsia"/>
            </w:rPr>
            <w:t>1</w:t>
          </w:r>
        </w:p>
        <w:p>
          <w:pPr>
            <w:jc w:val="distribute"/>
            <w:rPr>
              <w:rFonts w:hint="eastAsia"/>
            </w:rPr>
          </w:pPr>
          <w:r>
            <w:rPr>
              <w:rFonts w:hint="eastAsia"/>
            </w:rPr>
            <w:t>图1-3：心理健康教育</w:t>
          </w:r>
          <w:r>
            <w:rPr>
              <w:rFonts w:hint="eastAsia"/>
              <w:lang w:eastAsia="zh-CN"/>
            </w:rPr>
            <w:t>……………………………………………………………………………</w:t>
          </w:r>
          <w:r>
            <w:rPr>
              <w:rFonts w:hint="eastAsia"/>
            </w:rPr>
            <w:t>2</w:t>
          </w:r>
        </w:p>
        <w:p>
          <w:pPr>
            <w:jc w:val="distribute"/>
            <w:rPr>
              <w:rFonts w:hint="eastAsia"/>
            </w:rPr>
          </w:pPr>
          <w:r>
            <w:rPr>
              <w:rFonts w:hint="eastAsia"/>
            </w:rPr>
            <w:t>图1-4：传染病预防教育</w:t>
          </w:r>
          <w:r>
            <w:rPr>
              <w:rFonts w:hint="eastAsia"/>
              <w:lang w:eastAsia="zh-CN"/>
            </w:rPr>
            <w:t>…………………………………………………………………………</w:t>
          </w:r>
          <w:r>
            <w:rPr>
              <w:rFonts w:hint="eastAsia"/>
            </w:rPr>
            <w:t>2</w:t>
          </w:r>
        </w:p>
        <w:p>
          <w:pPr>
            <w:jc w:val="distribute"/>
            <w:rPr>
              <w:rFonts w:hint="eastAsia"/>
            </w:rPr>
          </w:pPr>
          <w:r>
            <w:rPr>
              <w:rFonts w:hint="eastAsia"/>
            </w:rPr>
            <w:t>图1-5：禁毒教育</w:t>
          </w:r>
          <w:r>
            <w:rPr>
              <w:rFonts w:hint="eastAsia"/>
            </w:rPr>
            <w:tab/>
          </w:r>
          <w:r>
            <w:rPr>
              <w:rFonts w:hint="eastAsia"/>
              <w:lang w:eastAsia="zh-CN"/>
            </w:rPr>
            <w:t>………………………………………………………………………………</w:t>
          </w:r>
          <w:r>
            <w:rPr>
              <w:rFonts w:hint="eastAsia"/>
            </w:rPr>
            <w:t>2</w:t>
          </w:r>
        </w:p>
        <w:p>
          <w:pPr>
            <w:jc w:val="distribute"/>
            <w:rPr>
              <w:rFonts w:hint="eastAsia"/>
            </w:rPr>
          </w:pPr>
          <w:r>
            <w:rPr>
              <w:rFonts w:hint="eastAsia"/>
            </w:rPr>
            <w:t>图1-6：法制教育</w:t>
          </w:r>
          <w:r>
            <w:rPr>
              <w:rFonts w:hint="eastAsia"/>
            </w:rPr>
            <w:tab/>
          </w:r>
          <w:r>
            <w:rPr>
              <w:rFonts w:hint="eastAsia"/>
              <w:lang w:eastAsia="zh-CN"/>
            </w:rPr>
            <w:t>………………………………………………………………………………</w:t>
          </w:r>
          <w:r>
            <w:rPr>
              <w:rFonts w:hint="eastAsia"/>
            </w:rPr>
            <w:t>2</w:t>
          </w:r>
        </w:p>
        <w:p>
          <w:pPr>
            <w:jc w:val="distribute"/>
            <w:rPr>
              <w:rFonts w:hint="eastAsia"/>
            </w:rPr>
          </w:pPr>
          <w:r>
            <w:rPr>
              <w:rFonts w:hint="eastAsia"/>
            </w:rPr>
            <w:t>图1-7：防火应急演练</w:t>
          </w:r>
          <w:r>
            <w:rPr>
              <w:rFonts w:hint="eastAsia"/>
              <w:lang w:eastAsia="zh-CN"/>
            </w:rPr>
            <w:t>…………………………………………………………………………</w:t>
          </w:r>
          <w:r>
            <w:rPr>
              <w:rFonts w:hint="eastAsia"/>
            </w:rPr>
            <w:t>3</w:t>
          </w:r>
        </w:p>
        <w:p>
          <w:pPr>
            <w:jc w:val="distribute"/>
            <w:rPr>
              <w:rFonts w:hint="eastAsia"/>
            </w:rPr>
          </w:pPr>
          <w:r>
            <w:rPr>
              <w:rFonts w:hint="eastAsia"/>
            </w:rPr>
            <w:t>图1-8：防震应急演练</w:t>
          </w:r>
          <w:r>
            <w:rPr>
              <w:rFonts w:hint="eastAsia"/>
              <w:lang w:eastAsia="zh-CN"/>
            </w:rPr>
            <w:t>…………………………………………………………………………</w:t>
          </w:r>
          <w:r>
            <w:rPr>
              <w:rFonts w:hint="eastAsia"/>
            </w:rPr>
            <w:t>3</w:t>
          </w:r>
        </w:p>
        <w:p>
          <w:pPr>
            <w:jc w:val="distribute"/>
            <w:rPr>
              <w:rFonts w:hint="eastAsia"/>
            </w:rPr>
          </w:pPr>
          <w:r>
            <w:rPr>
              <w:rFonts w:hint="eastAsia"/>
            </w:rPr>
            <w:t>图1-9：防电信诈骗</w:t>
          </w:r>
          <w:r>
            <w:rPr>
              <w:rFonts w:hint="eastAsia"/>
              <w:lang w:eastAsia="zh-CN"/>
            </w:rPr>
            <w:t>………………………………………………………………………………</w:t>
          </w:r>
          <w:r>
            <w:rPr>
              <w:rFonts w:hint="eastAsia"/>
            </w:rPr>
            <w:t>3</w:t>
          </w:r>
        </w:p>
        <w:p>
          <w:pPr>
            <w:jc w:val="distribute"/>
            <w:rPr>
              <w:rFonts w:hint="eastAsia"/>
            </w:rPr>
          </w:pPr>
          <w:r>
            <w:rPr>
              <w:rFonts w:hint="eastAsia"/>
            </w:rPr>
            <w:t>图1-10：爱国主义教育</w:t>
          </w:r>
          <w:r>
            <w:rPr>
              <w:rFonts w:hint="eastAsia"/>
              <w:lang w:eastAsia="zh-CN"/>
            </w:rPr>
            <w:t>…………………………………………………………………………</w:t>
          </w:r>
          <w:r>
            <w:rPr>
              <w:rFonts w:hint="eastAsia"/>
            </w:rPr>
            <w:t>3</w:t>
          </w:r>
        </w:p>
        <w:p>
          <w:pPr>
            <w:jc w:val="distribute"/>
            <w:rPr>
              <w:rFonts w:hint="eastAsia"/>
            </w:rPr>
          </w:pPr>
          <w:r>
            <w:rPr>
              <w:rFonts w:hint="eastAsia"/>
            </w:rPr>
            <w:t>图1-11：防溺水教育</w:t>
          </w:r>
          <w:r>
            <w:rPr>
              <w:rFonts w:hint="eastAsia"/>
              <w:lang w:eastAsia="zh-CN"/>
            </w:rPr>
            <w:t>………………………………………………………………………………</w:t>
          </w:r>
          <w:r>
            <w:rPr>
              <w:rFonts w:hint="eastAsia"/>
            </w:rPr>
            <w:t>3</w:t>
          </w:r>
        </w:p>
        <w:p>
          <w:pPr>
            <w:jc w:val="distribute"/>
            <w:rPr>
              <w:rFonts w:hint="eastAsia"/>
            </w:rPr>
          </w:pPr>
          <w:r>
            <w:rPr>
              <w:rFonts w:hint="eastAsia"/>
            </w:rPr>
            <w:t>图1-12：防范校园欺凌教育</w:t>
          </w:r>
          <w:r>
            <w:rPr>
              <w:rFonts w:hint="eastAsia"/>
              <w:lang w:eastAsia="zh-CN"/>
            </w:rPr>
            <w:t>………………………………………………………………………</w:t>
          </w:r>
          <w:r>
            <w:rPr>
              <w:rFonts w:hint="eastAsia"/>
            </w:rPr>
            <w:t>3</w:t>
          </w:r>
        </w:p>
        <w:p>
          <w:pPr>
            <w:jc w:val="distribute"/>
            <w:rPr>
              <w:rFonts w:hint="eastAsia"/>
            </w:rPr>
          </w:pPr>
          <w:r>
            <w:rPr>
              <w:rFonts w:hint="eastAsia"/>
            </w:rPr>
            <w:t>图1-13：入学教育</w:t>
          </w:r>
          <w:r>
            <w:rPr>
              <w:rFonts w:hint="eastAsia"/>
              <w:lang w:eastAsia="zh-CN"/>
            </w:rPr>
            <w:t>………………………………………………………………………………</w:t>
          </w:r>
          <w:r>
            <w:rPr>
              <w:rFonts w:hint="eastAsia"/>
            </w:rPr>
            <w:t>4</w:t>
          </w:r>
        </w:p>
        <w:p>
          <w:pPr>
            <w:jc w:val="distribute"/>
            <w:rPr>
              <w:rFonts w:hint="eastAsia"/>
            </w:rPr>
          </w:pPr>
          <w:r>
            <w:rPr>
              <w:rFonts w:hint="eastAsia"/>
            </w:rPr>
            <w:t>图1-14：家长委员会</w:t>
          </w:r>
          <w:r>
            <w:rPr>
              <w:rFonts w:hint="eastAsia"/>
              <w:lang w:eastAsia="zh-CN"/>
            </w:rPr>
            <w:t>………………………………………………………………………………</w:t>
          </w:r>
          <w:r>
            <w:rPr>
              <w:rFonts w:hint="eastAsia"/>
            </w:rPr>
            <w:t>4</w:t>
          </w:r>
        </w:p>
        <w:p>
          <w:pPr>
            <w:jc w:val="distribute"/>
            <w:rPr>
              <w:rFonts w:hint="eastAsia"/>
            </w:rPr>
          </w:pPr>
          <w:r>
            <w:rPr>
              <w:rFonts w:hint="eastAsia"/>
            </w:rPr>
            <w:t>图1-15：学生宿舍内务展示</w:t>
          </w:r>
          <w:r>
            <w:rPr>
              <w:rFonts w:hint="eastAsia"/>
              <w:lang w:eastAsia="zh-CN"/>
            </w:rPr>
            <w:t>………………………………………………………………………</w:t>
          </w:r>
          <w:r>
            <w:rPr>
              <w:rFonts w:hint="eastAsia"/>
            </w:rPr>
            <w:t>5</w:t>
          </w:r>
        </w:p>
        <w:p>
          <w:pPr>
            <w:jc w:val="distribute"/>
            <w:rPr>
              <w:rFonts w:hint="eastAsia"/>
            </w:rPr>
          </w:pPr>
          <w:r>
            <w:rPr>
              <w:rFonts w:hint="eastAsia"/>
            </w:rPr>
            <w:t>图1-16：2022年天津市技能大赛获奖证书、照片</w:t>
          </w:r>
          <w:r>
            <w:rPr>
              <w:rFonts w:hint="eastAsia"/>
              <w:lang w:eastAsia="zh-CN"/>
            </w:rPr>
            <w:t>………………………………………………</w:t>
          </w:r>
          <w:r>
            <w:rPr>
              <w:rFonts w:hint="eastAsia"/>
            </w:rPr>
            <w:t>9</w:t>
          </w:r>
        </w:p>
        <w:p>
          <w:pPr>
            <w:jc w:val="distribute"/>
            <w:rPr>
              <w:rFonts w:hint="eastAsia"/>
            </w:rPr>
          </w:pPr>
          <w:r>
            <w:rPr>
              <w:rFonts w:hint="eastAsia"/>
            </w:rPr>
            <w:t>图1-17：合作企业为学校送来锦旗</w:t>
          </w:r>
          <w:r>
            <w:rPr>
              <w:rFonts w:hint="eastAsia"/>
              <w:lang w:eastAsia="zh-CN"/>
            </w:rPr>
            <w:t>……………………………………………………………</w:t>
          </w:r>
          <w:r>
            <w:rPr>
              <w:rFonts w:hint="eastAsia"/>
            </w:rPr>
            <w:t>10</w:t>
          </w:r>
        </w:p>
        <w:p>
          <w:pPr>
            <w:jc w:val="distribute"/>
            <w:rPr>
              <w:rFonts w:hint="eastAsia"/>
            </w:rPr>
          </w:pPr>
          <w:r>
            <w:rPr>
              <w:rFonts w:hint="eastAsia"/>
            </w:rPr>
            <w:t>图1-18：高校给学校、老师发来的喜报</w:t>
          </w:r>
          <w:r>
            <w:rPr>
              <w:rFonts w:hint="eastAsia"/>
              <w:lang w:eastAsia="zh-CN"/>
            </w:rPr>
            <w:t>………………………………………………………</w:t>
          </w:r>
          <w:r>
            <w:rPr>
              <w:rFonts w:hint="eastAsia"/>
            </w:rPr>
            <w:t>11</w:t>
          </w:r>
        </w:p>
        <w:p>
          <w:pPr>
            <w:jc w:val="distribute"/>
            <w:rPr>
              <w:rFonts w:hint="eastAsia" w:eastAsiaTheme="minorEastAsia"/>
              <w:lang w:eastAsia="zh-CN"/>
            </w:rPr>
          </w:pPr>
          <w:r>
            <w:rPr>
              <w:rFonts w:hint="eastAsia"/>
            </w:rPr>
            <w:t>图1-19：学校教学资源库截图</w:t>
          </w:r>
          <w:r>
            <w:rPr>
              <w:rFonts w:hint="eastAsia"/>
              <w:lang w:eastAsia="zh-CN"/>
            </w:rPr>
            <w:t>…………………………………………………………………</w:t>
          </w:r>
          <w:r>
            <w:rPr>
              <w:rFonts w:hint="eastAsia"/>
            </w:rPr>
            <w:t>1</w:t>
          </w:r>
          <w:r>
            <w:rPr>
              <w:rFonts w:hint="eastAsia"/>
              <w:lang w:val="en-US" w:eastAsia="zh-CN"/>
            </w:rPr>
            <w:t>5</w:t>
          </w:r>
        </w:p>
        <w:p>
          <w:pPr>
            <w:jc w:val="distribute"/>
            <w:rPr>
              <w:rFonts w:hint="eastAsia" w:eastAsiaTheme="minorEastAsia"/>
              <w:lang w:eastAsia="zh-CN"/>
            </w:rPr>
          </w:pPr>
          <w:r>
            <w:rPr>
              <w:rFonts w:hint="eastAsia"/>
            </w:rPr>
            <w:t>图1-20：学校技能大赛比赛照片</w:t>
          </w:r>
          <w:r>
            <w:rPr>
              <w:rFonts w:hint="eastAsia"/>
              <w:lang w:eastAsia="zh-CN"/>
            </w:rPr>
            <w:t>………………………………………………………………</w:t>
          </w:r>
          <w:r>
            <w:rPr>
              <w:rFonts w:hint="eastAsia"/>
            </w:rPr>
            <w:t>2</w:t>
          </w:r>
          <w:r>
            <w:rPr>
              <w:rFonts w:hint="eastAsia"/>
              <w:lang w:val="en-US" w:eastAsia="zh-CN"/>
            </w:rPr>
            <w:t>1</w:t>
          </w:r>
        </w:p>
        <w:p>
          <w:pPr>
            <w:jc w:val="distribute"/>
            <w:rPr>
              <w:rFonts w:hint="eastAsia" w:eastAsiaTheme="minorEastAsia"/>
              <w:lang w:eastAsia="zh-CN"/>
            </w:rPr>
          </w:pPr>
          <w:r>
            <w:rPr>
              <w:rFonts w:hint="eastAsia"/>
            </w:rPr>
            <w:t>图1-21：学生参加2022年天津市技能大赛照片</w:t>
          </w:r>
          <w:r>
            <w:rPr>
              <w:rFonts w:hint="eastAsia"/>
              <w:lang w:eastAsia="zh-CN"/>
            </w:rPr>
            <w:t>………………………………………………</w:t>
          </w:r>
          <w:r>
            <w:rPr>
              <w:rFonts w:hint="eastAsia"/>
            </w:rPr>
            <w:t>2</w:t>
          </w:r>
          <w:r>
            <w:rPr>
              <w:rFonts w:hint="eastAsia"/>
              <w:lang w:val="en-US" w:eastAsia="zh-CN"/>
            </w:rPr>
            <w:t>1</w:t>
          </w:r>
        </w:p>
        <w:p>
          <w:pPr>
            <w:jc w:val="distribute"/>
            <w:rPr>
              <w:rFonts w:hint="eastAsia" w:eastAsiaTheme="minorEastAsia"/>
              <w:lang w:eastAsia="zh-CN"/>
            </w:rPr>
          </w:pPr>
          <w:r>
            <w:rPr>
              <w:rFonts w:hint="eastAsia"/>
            </w:rPr>
            <w:t>图1-22：2022、2023年度师生参加技能大赛情况统计</w:t>
          </w:r>
          <w:r>
            <w:rPr>
              <w:rFonts w:hint="eastAsia"/>
              <w:lang w:eastAsia="zh-CN"/>
            </w:rPr>
            <w:t>……………………………………</w:t>
          </w:r>
          <w:r>
            <w:rPr>
              <w:rFonts w:hint="eastAsia"/>
            </w:rPr>
            <w:t>2</w:t>
          </w:r>
          <w:r>
            <w:rPr>
              <w:rFonts w:hint="eastAsia"/>
              <w:lang w:val="en-US" w:eastAsia="zh-CN"/>
            </w:rPr>
            <w:t>2</w:t>
          </w:r>
        </w:p>
        <w:p>
          <w:pPr>
            <w:jc w:val="distribute"/>
            <w:rPr>
              <w:rFonts w:hint="eastAsia" w:eastAsiaTheme="minorEastAsia"/>
              <w:lang w:eastAsia="zh-CN"/>
            </w:rPr>
          </w:pPr>
          <w:r>
            <w:rPr>
              <w:rFonts w:hint="eastAsia"/>
            </w:rPr>
            <w:t>图1-23：汽车发动机拆装实训</w:t>
          </w:r>
          <w:r>
            <w:rPr>
              <w:rFonts w:hint="eastAsia"/>
            </w:rPr>
            <w:tab/>
          </w:r>
          <w:r>
            <w:rPr>
              <w:rFonts w:hint="eastAsia"/>
              <w:lang w:eastAsia="zh-CN"/>
            </w:rPr>
            <w:t>………………………………………………………………</w:t>
          </w:r>
          <w:r>
            <w:rPr>
              <w:rFonts w:hint="eastAsia"/>
            </w:rPr>
            <w:t>2</w:t>
          </w:r>
          <w:r>
            <w:rPr>
              <w:rFonts w:hint="eastAsia"/>
              <w:lang w:val="en-US" w:eastAsia="zh-CN"/>
            </w:rPr>
            <w:t>3</w:t>
          </w:r>
        </w:p>
        <w:p>
          <w:pPr>
            <w:jc w:val="distribute"/>
            <w:rPr>
              <w:rFonts w:hint="eastAsia" w:eastAsiaTheme="minorEastAsia"/>
              <w:lang w:eastAsia="zh-CN"/>
            </w:rPr>
          </w:pPr>
          <w:r>
            <w:rPr>
              <w:rFonts w:hint="eastAsia"/>
            </w:rPr>
            <w:t>图2-1：天祝县职专火林三主任在校汽修车间与老师交流实训业务</w:t>
          </w:r>
          <w:r>
            <w:rPr>
              <w:rFonts w:hint="eastAsia"/>
              <w:lang w:eastAsia="zh-CN"/>
            </w:rPr>
            <w:t>………………………</w:t>
          </w:r>
          <w:r>
            <w:rPr>
              <w:rFonts w:hint="eastAsia"/>
            </w:rPr>
            <w:t>2</w:t>
          </w:r>
          <w:r>
            <w:rPr>
              <w:rFonts w:hint="eastAsia"/>
              <w:lang w:val="en-US" w:eastAsia="zh-CN"/>
            </w:rPr>
            <w:t>6</w:t>
          </w:r>
        </w:p>
        <w:p>
          <w:pPr>
            <w:jc w:val="distribute"/>
            <w:rPr>
              <w:rFonts w:hint="eastAsia" w:eastAsiaTheme="minorEastAsia"/>
              <w:lang w:eastAsia="zh-CN"/>
            </w:rPr>
          </w:pPr>
          <w:r>
            <w:rPr>
              <w:rFonts w:hint="eastAsia"/>
            </w:rPr>
            <w:t>图2-2：全民终身活动周中，社区居民进行京韵大鼓表演</w:t>
          </w:r>
          <w:r>
            <w:rPr>
              <w:rFonts w:hint="eastAsia"/>
              <w:lang w:eastAsia="zh-CN"/>
            </w:rPr>
            <w:t>……………………………………</w:t>
          </w:r>
          <w:r>
            <w:rPr>
              <w:rFonts w:hint="eastAsia"/>
            </w:rPr>
            <w:t>2</w:t>
          </w:r>
          <w:r>
            <w:rPr>
              <w:rFonts w:hint="eastAsia"/>
              <w:lang w:val="en-US" w:eastAsia="zh-CN"/>
            </w:rPr>
            <w:t>9</w:t>
          </w:r>
        </w:p>
        <w:p>
          <w:pPr>
            <w:jc w:val="distribute"/>
            <w:rPr>
              <w:rFonts w:hint="default" w:eastAsiaTheme="minorEastAsia"/>
              <w:lang w:val="en-US" w:eastAsia="zh-CN"/>
            </w:rPr>
          </w:pPr>
          <w:r>
            <w:rPr>
              <w:rFonts w:hint="eastAsia"/>
            </w:rPr>
            <w:t>图2-3：师生参观红色育人示范基地</w:t>
          </w:r>
          <w:r>
            <w:rPr>
              <w:rFonts w:hint="eastAsia"/>
            </w:rPr>
            <w:tab/>
          </w:r>
          <w:r>
            <w:rPr>
              <w:rFonts w:hint="eastAsia"/>
              <w:lang w:eastAsia="zh-CN"/>
            </w:rPr>
            <w:t>…………………………………………………………</w:t>
          </w:r>
          <w:r>
            <w:rPr>
              <w:rFonts w:hint="eastAsia"/>
              <w:lang w:val="en-US" w:eastAsia="zh-CN"/>
            </w:rPr>
            <w:t>30</w:t>
          </w:r>
        </w:p>
        <w:p>
          <w:pPr>
            <w:jc w:val="distribute"/>
            <w:rPr>
              <w:rFonts w:hint="eastAsia" w:eastAsiaTheme="minorEastAsia"/>
              <w:lang w:eastAsia="zh-CN"/>
            </w:rPr>
          </w:pPr>
          <w:r>
            <w:rPr>
              <w:rFonts w:hint="eastAsia"/>
            </w:rPr>
            <w:t>图3-1：李校长带领思政课教师瞻仰爨岭庙烈士陵园</w:t>
          </w:r>
          <w:r>
            <w:rPr>
              <w:rFonts w:hint="eastAsia"/>
              <w:lang w:eastAsia="zh-CN"/>
            </w:rPr>
            <w:t>………………………………………</w:t>
          </w:r>
          <w:r>
            <w:rPr>
              <w:rFonts w:hint="eastAsia"/>
            </w:rPr>
            <w:t>3</w:t>
          </w:r>
          <w:r>
            <w:rPr>
              <w:rFonts w:hint="eastAsia"/>
              <w:lang w:val="en-US" w:eastAsia="zh-CN"/>
            </w:rPr>
            <w:t>2</w:t>
          </w:r>
        </w:p>
        <w:p>
          <w:pPr>
            <w:jc w:val="distribute"/>
            <w:rPr>
              <w:rFonts w:hint="eastAsia" w:eastAsiaTheme="minorEastAsia"/>
              <w:lang w:eastAsia="zh-CN"/>
            </w:rPr>
          </w:pPr>
          <w:r>
            <w:rPr>
              <w:rFonts w:hint="eastAsia"/>
            </w:rPr>
            <w:t>图3-2：党史知识竞赛获奖证明</w:t>
          </w:r>
          <w:r>
            <w:rPr>
              <w:rFonts w:hint="eastAsia"/>
              <w:lang w:eastAsia="zh-CN"/>
            </w:rPr>
            <w:t>………………………………………………………………</w:t>
          </w:r>
          <w:r>
            <w:rPr>
              <w:rFonts w:hint="eastAsia"/>
            </w:rPr>
            <w:t>3</w:t>
          </w:r>
          <w:r>
            <w:rPr>
              <w:rFonts w:hint="eastAsia"/>
              <w:lang w:val="en-US" w:eastAsia="zh-CN"/>
            </w:rPr>
            <w:t>3</w:t>
          </w:r>
        </w:p>
        <w:p>
          <w:pPr>
            <w:jc w:val="distribute"/>
            <w:rPr>
              <w:rFonts w:hint="eastAsia" w:eastAsiaTheme="minorEastAsia"/>
              <w:lang w:eastAsia="zh-CN"/>
            </w:rPr>
          </w:pPr>
          <w:r>
            <w:rPr>
              <w:rFonts w:hint="eastAsia"/>
            </w:rPr>
            <w:t>图3-3：武术社团参加蓟州区第三届社区运动会暨第五届传统武术大赛中，荣获集体项目一等奖</w:t>
          </w:r>
          <w:r>
            <w:rPr>
              <w:rFonts w:hint="eastAsia"/>
              <w:lang w:eastAsia="zh-CN"/>
            </w:rPr>
            <w:t>………………………………………………………………………………………………</w:t>
          </w:r>
          <w:r>
            <w:rPr>
              <w:rFonts w:hint="eastAsia"/>
            </w:rPr>
            <w:t>3</w:t>
          </w:r>
          <w:r>
            <w:rPr>
              <w:rFonts w:hint="eastAsia"/>
              <w:lang w:val="en-US" w:eastAsia="zh-CN"/>
            </w:rPr>
            <w:t>4</w:t>
          </w:r>
        </w:p>
        <w:p>
          <w:pPr>
            <w:jc w:val="distribute"/>
            <w:rPr>
              <w:rFonts w:hint="eastAsia" w:eastAsiaTheme="minorEastAsia"/>
              <w:lang w:eastAsia="zh-CN"/>
            </w:rPr>
          </w:pPr>
          <w:r>
            <w:rPr>
              <w:rFonts w:hint="eastAsia"/>
            </w:rPr>
            <w:t>图3-4：舞狮社团参加第十二届“津沽文化日”暨蓟州区美育实践工作坊启动仪式</w:t>
          </w:r>
          <w:r>
            <w:rPr>
              <w:rFonts w:hint="eastAsia"/>
              <w:lang w:eastAsia="zh-CN"/>
            </w:rPr>
            <w:t>……</w:t>
          </w:r>
          <w:r>
            <w:rPr>
              <w:rFonts w:hint="eastAsia"/>
            </w:rPr>
            <w:t>3</w:t>
          </w:r>
          <w:r>
            <w:rPr>
              <w:rFonts w:hint="eastAsia"/>
              <w:lang w:val="en-US" w:eastAsia="zh-CN"/>
            </w:rPr>
            <w:t>5</w:t>
          </w:r>
        </w:p>
        <w:p>
          <w:pPr>
            <w:pStyle w:val="5"/>
            <w:pageBreakBefore w:val="0"/>
            <w:kinsoku/>
            <w:wordWrap/>
            <w:overflowPunct/>
            <w:topLinePunct w:val="0"/>
            <w:autoSpaceDE/>
            <w:autoSpaceDN/>
            <w:bidi w:val="0"/>
            <w:adjustRightInd/>
            <w:spacing w:before="0" w:after="0" w:line="240" w:lineRule="auto"/>
            <w:outlineLvl w:val="9"/>
            <w:rPr>
              <w:rFonts w:hint="eastAsia" w:ascii="华文仿宋" w:hAnsi="华文仿宋" w:eastAsia="华文仿宋" w:cstheme="minorBidi"/>
              <w:kern w:val="2"/>
              <w:sz w:val="21"/>
              <w:szCs w:val="24"/>
              <w:lang w:val="en-US" w:eastAsia="zh-CN" w:bidi="ar-SA"/>
            </w:rPr>
          </w:pPr>
        </w:p>
      </w:sdtContent>
    </w:sdt>
    <w:p>
      <w:pPr>
        <w:rPr>
          <w:rFonts w:hint="eastAsia"/>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Style w:val="5"/>
        <w:pageBreakBefore w:val="0"/>
        <w:kinsoku/>
        <w:wordWrap/>
        <w:overflowPunct/>
        <w:topLinePunct w:val="0"/>
        <w:autoSpaceDE/>
        <w:autoSpaceDN/>
        <w:bidi w:val="0"/>
        <w:adjustRightInd/>
        <w:spacing w:before="0" w:after="0" w:line="240" w:lineRule="auto"/>
        <w:outlineLvl w:val="9"/>
        <w:rPr>
          <w:rFonts w:hint="eastAsia"/>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jc w:val="center"/>
        <w:outlineLvl w:val="9"/>
        <w:rPr>
          <w:rFonts w:hint="eastAsia" w:ascii="Times New Roman" w:hAnsi="Times New Roman" w:eastAsia="仿宋_GB2312" w:cs="Times New Roman"/>
          <w:b/>
          <w:bCs/>
          <w:sz w:val="32"/>
          <w:szCs w:val="32"/>
          <w:lang w:val="en-US" w:eastAsia="zh-CN"/>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pPr>
        <w:pageBreakBefore w:val="0"/>
        <w:widowControl w:val="0"/>
        <w:tabs>
          <w:tab w:val="left" w:pos="958"/>
          <w:tab w:val="left" w:pos="1078"/>
        </w:tabs>
        <w:kinsoku/>
        <w:wordWrap/>
        <w:overflowPunct/>
        <w:topLinePunct w:val="0"/>
        <w:autoSpaceDE/>
        <w:autoSpaceDN/>
        <w:bidi w:val="0"/>
        <w:adjustRightInd/>
        <w:snapToGrid/>
        <w:spacing w:line="240" w:lineRule="auto"/>
        <w:textAlignment w:val="auto"/>
        <w:outlineLvl w:val="9"/>
        <w:rPr>
          <w:rFonts w:hint="eastAsia" w:ascii="宋体" w:hAnsi="宋体" w:eastAsia="宋体" w:cs="宋体"/>
          <w:b w:val="0"/>
          <w:bCs w:val="0"/>
          <w:sz w:val="24"/>
          <w:szCs w:val="24"/>
          <w:lang w:val="en-US" w:eastAsia="zh-CN"/>
        </w:rPr>
      </w:pPr>
    </w:p>
    <w:sdt>
      <w:sdtPr>
        <w:rPr>
          <w:rFonts w:ascii="宋体" w:hAnsi="宋体" w:eastAsia="宋体" w:cstheme="minorBidi"/>
          <w:b/>
          <w:bCs/>
          <w:kern w:val="2"/>
          <w:sz w:val="24"/>
          <w:szCs w:val="24"/>
          <w:lang w:val="en-US" w:eastAsia="zh-CN" w:bidi="ar-SA"/>
        </w:rPr>
        <w:id w:val="147470040"/>
        <w15:color w:val="DBDBDB"/>
        <w:docPartObj>
          <w:docPartGallery w:val="Table of Contents"/>
          <w:docPartUnique/>
        </w:docPartObj>
      </w:sdtPr>
      <w:sdtEndPr>
        <w:rPr>
          <w:rFonts w:hint="eastAsia" w:ascii="华文仿宋" w:hAnsi="华文仿宋" w:eastAsia="华文仿宋" w:cstheme="minorBidi"/>
          <w:b/>
          <w:bCs/>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313" w:afterLines="100" w:line="240" w:lineRule="auto"/>
            <w:ind w:left="0" w:leftChars="0" w:right="0" w:rightChars="0" w:firstLine="0" w:firstLineChars="0"/>
            <w:jc w:val="center"/>
            <w:textAlignment w:val="auto"/>
            <w:rPr>
              <w:b/>
              <w:bCs/>
              <w:sz w:val="24"/>
              <w:szCs w:val="24"/>
            </w:rPr>
          </w:pPr>
          <w:r>
            <w:rPr>
              <w:rFonts w:hint="eastAsia" w:ascii="宋体" w:hAnsi="宋体" w:eastAsia="宋体" w:cstheme="minorBidi"/>
              <w:b/>
              <w:bCs/>
              <w:kern w:val="2"/>
              <w:sz w:val="24"/>
              <w:szCs w:val="24"/>
              <w:lang w:val="en-US" w:eastAsia="zh-CN" w:bidi="ar-SA"/>
            </w:rPr>
            <w:t>案例</w:t>
          </w:r>
          <w:r>
            <w:rPr>
              <w:rFonts w:ascii="宋体" w:hAnsi="宋体" w:eastAsia="宋体"/>
              <w:b/>
              <w:bCs/>
              <w:sz w:val="24"/>
              <w:szCs w:val="24"/>
            </w:rPr>
            <w:t>目录</w:t>
          </w:r>
        </w:p>
        <w:p>
          <w:pPr>
            <w:jc w:val="distribute"/>
            <w:rPr>
              <w:rFonts w:hint="eastAsia"/>
            </w:rPr>
          </w:pPr>
          <w:r>
            <w:rPr>
              <w:rFonts w:hint="eastAsia" w:ascii="华文仿宋" w:hAnsi="华文仿宋" w:eastAsia="华文仿宋"/>
              <w:sz w:val="24"/>
              <w:szCs w:val="24"/>
            </w:rPr>
            <w:fldChar w:fldCharType="begin"/>
          </w:r>
          <w:r>
            <w:rPr>
              <w:rFonts w:hint="eastAsia" w:ascii="华文仿宋" w:hAnsi="华文仿宋" w:eastAsia="华文仿宋"/>
              <w:sz w:val="24"/>
              <w:szCs w:val="24"/>
            </w:rPr>
            <w:instrText xml:space="preserve">TOC \o "1-1" \h \u </w:instrText>
          </w:r>
          <w:r>
            <w:rPr>
              <w:rFonts w:hint="eastAsia" w:ascii="华文仿宋" w:hAnsi="华文仿宋" w:eastAsia="华文仿宋"/>
              <w:sz w:val="24"/>
              <w:szCs w:val="24"/>
            </w:rPr>
            <w:fldChar w:fldCharType="separate"/>
          </w:r>
          <w:r>
            <w:rPr>
              <w:rFonts w:hint="eastAsia"/>
            </w:rPr>
            <w:t>案例1-1：小寝室，大文章——以宿舍文化为起点，培育学生职业素养</w:t>
          </w:r>
          <w:r>
            <w:rPr>
              <w:rFonts w:hint="eastAsia"/>
              <w:lang w:eastAsia="zh-CN"/>
            </w:rPr>
            <w:t>……………………</w:t>
          </w:r>
          <w:r>
            <w:rPr>
              <w:rFonts w:hint="eastAsia"/>
            </w:rPr>
            <w:t>4</w:t>
          </w:r>
        </w:p>
        <w:p>
          <w:pPr>
            <w:jc w:val="distribute"/>
            <w:rPr>
              <w:rFonts w:hint="eastAsia"/>
            </w:rPr>
          </w:pPr>
          <w:r>
            <w:rPr>
              <w:rFonts w:hint="eastAsia"/>
            </w:rPr>
            <w:t>案例1-2：网络瞬间拉近了我们的距离</w:t>
          </w:r>
          <w:r>
            <w:rPr>
              <w:rFonts w:hint="eastAsia"/>
              <w:lang w:eastAsia="zh-CN"/>
            </w:rPr>
            <w:t>…………………………………………………………</w:t>
          </w:r>
          <w:r>
            <w:rPr>
              <w:rFonts w:hint="eastAsia"/>
            </w:rPr>
            <w:t>6</w:t>
          </w:r>
        </w:p>
        <w:p>
          <w:pPr>
            <w:jc w:val="distribute"/>
            <w:rPr>
              <w:rFonts w:hint="eastAsia"/>
            </w:rPr>
          </w:pPr>
          <w:r>
            <w:rPr>
              <w:rFonts w:hint="eastAsia"/>
            </w:rPr>
            <w:t>案例1-3：学校实施个性化人才培养模式成绩显著</w:t>
          </w:r>
          <w:r>
            <w:rPr>
              <w:rFonts w:hint="eastAsia"/>
              <w:lang w:eastAsia="zh-CN"/>
            </w:rPr>
            <w:t>……………………………………………</w:t>
          </w:r>
          <w:r>
            <w:rPr>
              <w:rFonts w:hint="eastAsia"/>
            </w:rPr>
            <w:t>8</w:t>
          </w:r>
        </w:p>
        <w:p>
          <w:pPr>
            <w:jc w:val="distribute"/>
            <w:rPr>
              <w:rFonts w:hint="eastAsia"/>
            </w:rPr>
          </w:pPr>
          <w:r>
            <w:rPr>
              <w:rFonts w:hint="eastAsia"/>
            </w:rPr>
            <w:t>案例1-4：实施个性化教学模式，促进人才培养质量全面提高</w:t>
          </w:r>
          <w:r>
            <w:rPr>
              <w:rFonts w:hint="eastAsia"/>
              <w:lang w:eastAsia="zh-CN"/>
            </w:rPr>
            <w:t>……………………………</w:t>
          </w:r>
          <w:r>
            <w:rPr>
              <w:rFonts w:hint="eastAsia"/>
            </w:rPr>
            <w:t>10</w:t>
          </w:r>
        </w:p>
        <w:p>
          <w:pPr>
            <w:jc w:val="distribute"/>
            <w:rPr>
              <w:rFonts w:hint="eastAsia"/>
            </w:rPr>
          </w:pPr>
          <w:r>
            <w:rPr>
              <w:rFonts w:hint="eastAsia"/>
            </w:rPr>
            <w:t>案例1-5：以科研为引领促进教育教学改革</w:t>
          </w:r>
          <w:r>
            <w:rPr>
              <w:rFonts w:hint="eastAsia"/>
              <w:lang w:eastAsia="zh-CN"/>
            </w:rPr>
            <w:t>…………………………………………………</w:t>
          </w:r>
          <w:r>
            <w:rPr>
              <w:rFonts w:hint="eastAsia"/>
            </w:rPr>
            <w:t>12</w:t>
          </w:r>
        </w:p>
        <w:p>
          <w:pPr>
            <w:jc w:val="distribute"/>
            <w:rPr>
              <w:rFonts w:hint="eastAsia" w:eastAsiaTheme="minorEastAsia"/>
              <w:lang w:eastAsia="zh-CN"/>
            </w:rPr>
          </w:pPr>
          <w:r>
            <w:rPr>
              <w:rFonts w:hint="eastAsia"/>
            </w:rPr>
            <w:t>案例1-6：以技能大赛为抓手，全面推进专业建设</w:t>
          </w:r>
          <w:r>
            <w:rPr>
              <w:rFonts w:hint="eastAsia"/>
              <w:lang w:eastAsia="zh-CN"/>
            </w:rPr>
            <w:t>…………………………………………</w:t>
          </w:r>
          <w:r>
            <w:rPr>
              <w:rFonts w:hint="eastAsia"/>
            </w:rPr>
            <w:t>2</w:t>
          </w:r>
          <w:r>
            <w:rPr>
              <w:rFonts w:hint="eastAsia"/>
              <w:lang w:val="en-US" w:eastAsia="zh-CN"/>
            </w:rPr>
            <w:t>1</w:t>
          </w:r>
        </w:p>
        <w:p>
          <w:pPr>
            <w:jc w:val="distribute"/>
            <w:rPr>
              <w:rFonts w:hint="eastAsia" w:eastAsiaTheme="minorEastAsia"/>
              <w:lang w:eastAsia="zh-CN"/>
            </w:rPr>
          </w:pPr>
          <w:r>
            <w:rPr>
              <w:rFonts w:hint="eastAsia"/>
            </w:rPr>
            <w:t>案例1-7：技能大赛成就课程一体化教学</w:t>
          </w:r>
          <w:r>
            <w:rPr>
              <w:rFonts w:hint="eastAsia"/>
              <w:lang w:eastAsia="zh-CN"/>
            </w:rPr>
            <w:t>……………………………………………………</w:t>
          </w:r>
          <w:r>
            <w:rPr>
              <w:rFonts w:hint="eastAsia"/>
            </w:rPr>
            <w:t>2</w:t>
          </w:r>
          <w:r>
            <w:rPr>
              <w:rFonts w:hint="eastAsia"/>
              <w:lang w:val="en-US" w:eastAsia="zh-CN"/>
            </w:rPr>
            <w:t>2</w:t>
          </w:r>
        </w:p>
        <w:p>
          <w:pPr>
            <w:jc w:val="distribute"/>
            <w:rPr>
              <w:rFonts w:hint="eastAsia" w:eastAsiaTheme="minorEastAsia"/>
              <w:lang w:eastAsia="zh-CN"/>
            </w:rPr>
          </w:pPr>
          <w:r>
            <w:rPr>
              <w:rFonts w:hint="eastAsia"/>
            </w:rPr>
            <w:t>案例3-1：传承中华传统文化---天信武术、舞狮社团</w:t>
          </w:r>
          <w:r>
            <w:rPr>
              <w:rFonts w:hint="eastAsia"/>
              <w:lang w:eastAsia="zh-CN"/>
            </w:rPr>
            <w:t>………………………………………</w:t>
          </w:r>
          <w:r>
            <w:rPr>
              <w:rFonts w:hint="eastAsia"/>
            </w:rPr>
            <w:t>3</w:t>
          </w:r>
          <w:r>
            <w:rPr>
              <w:rFonts w:hint="eastAsia"/>
              <w:lang w:val="en-US" w:eastAsia="zh-CN"/>
            </w:rPr>
            <w:t>4</w:t>
          </w:r>
        </w:p>
        <w:p>
          <w:pPr>
            <w:jc w:val="distribute"/>
            <w:rPr>
              <w:rFonts w:hint="eastAsia" w:eastAsiaTheme="minorEastAsia"/>
              <w:lang w:eastAsia="zh-CN"/>
            </w:rPr>
          </w:pPr>
          <w:r>
            <w:rPr>
              <w:rFonts w:hint="eastAsia"/>
            </w:rPr>
            <w:t>案例4-1：“以赛促训、赛训结合、掌握理论、强化技能”</w:t>
          </w:r>
          <w:r>
            <w:rPr>
              <w:rFonts w:hint="eastAsia"/>
              <w:lang w:eastAsia="zh-CN"/>
            </w:rPr>
            <w:t>…………………………………</w:t>
          </w:r>
          <w:r>
            <w:rPr>
              <w:rFonts w:hint="eastAsia"/>
            </w:rPr>
            <w:t>3</w:t>
          </w:r>
          <w:r>
            <w:rPr>
              <w:rFonts w:hint="eastAsia"/>
              <w:lang w:val="en-US" w:eastAsia="zh-CN"/>
            </w:rPr>
            <w:t>6</w:t>
          </w:r>
        </w:p>
        <w:p>
          <w:pPr>
            <w:pStyle w:val="24"/>
            <w:tabs>
              <w:tab w:val="right" w:leader="dot" w:pos="8306"/>
            </w:tabs>
          </w:pPr>
        </w:p>
        <w:p>
          <w:pPr>
            <w:pageBreakBefore w:val="0"/>
            <w:kinsoku/>
            <w:wordWrap/>
            <w:overflowPunct/>
            <w:topLinePunct w:val="0"/>
            <w:autoSpaceDE/>
            <w:autoSpaceDN/>
            <w:bidi w:val="0"/>
            <w:adjustRightInd/>
            <w:spacing w:line="240" w:lineRule="auto"/>
            <w:outlineLvl w:val="9"/>
            <w:rPr>
              <w:rFonts w:hint="eastAsia" w:ascii="华文仿宋" w:hAnsi="华文仿宋" w:eastAsia="华文仿宋"/>
              <w:sz w:val="24"/>
              <w:szCs w:val="24"/>
            </w:rPr>
          </w:pPr>
          <w:r>
            <w:rPr>
              <w:rFonts w:hint="eastAsia" w:ascii="华文仿宋" w:hAnsi="华文仿宋" w:eastAsia="华文仿宋"/>
              <w:szCs w:val="24"/>
            </w:rPr>
            <w:fldChar w:fldCharType="end"/>
          </w:r>
        </w:p>
      </w:sdtContent>
    </w:sdt>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Style w:val="5"/>
        <w:pageBreakBefore w:val="0"/>
        <w:kinsoku/>
        <w:wordWrap/>
        <w:overflowPunct/>
        <w:topLinePunct w:val="0"/>
        <w:autoSpaceDE/>
        <w:autoSpaceDN/>
        <w:bidi w:val="0"/>
        <w:adjustRightInd/>
        <w:spacing w:before="0" w:after="0" w:line="240" w:lineRule="auto"/>
        <w:outlineLvl w:val="9"/>
        <w:rPr>
          <w:rFonts w:hint="eastAsia" w:ascii="Times New Roman" w:hAnsi="Times New Roman" w:eastAsia="仿宋_GB2312" w:cs="Times New Roman"/>
          <w:b/>
          <w:bCs/>
          <w:sz w:val="32"/>
          <w:szCs w:val="32"/>
        </w:rPr>
      </w:pPr>
    </w:p>
    <w:p>
      <w:pPr>
        <w:pageBreakBefore w:val="0"/>
        <w:kinsoku/>
        <w:wordWrap/>
        <w:overflowPunct/>
        <w:topLinePunct w:val="0"/>
        <w:autoSpaceDE/>
        <w:autoSpaceDN/>
        <w:bidi w:val="0"/>
        <w:adjustRightInd/>
        <w:spacing w:line="240" w:lineRule="auto"/>
        <w:rPr>
          <w:rFonts w:hint="eastAsia"/>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jc w:val="center"/>
        <w:outlineLvl w:val="9"/>
        <w:rPr>
          <w:rFonts w:hint="eastAsia" w:ascii="Times New Roman" w:hAnsi="Times New Roman" w:eastAsia="仿宋_GB2312" w:cs="Times New Roman"/>
          <w:b/>
          <w:bCs/>
          <w:sz w:val="32"/>
          <w:szCs w:val="32"/>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sdt>
      <w:sdtPr>
        <w:rPr>
          <w:rFonts w:ascii="宋体" w:hAnsi="宋体" w:eastAsia="宋体" w:cstheme="minorBidi"/>
          <w:b/>
          <w:bCs/>
          <w:kern w:val="2"/>
          <w:sz w:val="24"/>
          <w:szCs w:val="24"/>
          <w:lang w:val="en-US" w:eastAsia="zh-CN" w:bidi="ar-SA"/>
        </w:rPr>
        <w:id w:val="147468978"/>
        <w15:color w:val="DBDBDB"/>
        <w:docPartObj>
          <w:docPartGallery w:val="Table of Contents"/>
          <w:docPartUnique/>
        </w:docPartObj>
      </w:sdtPr>
      <w:sdtEndPr>
        <w:rPr>
          <w:rFonts w:hint="eastAsia" w:ascii="Times New Roman" w:hAnsi="Times New Roman" w:eastAsia="仿宋_GB2312" w:cs="Times New Roman"/>
          <w:b/>
          <w:bCs/>
          <w:kern w:val="2"/>
          <w:sz w:val="21"/>
          <w:szCs w:val="32"/>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313" w:afterLines="100" w:line="240" w:lineRule="auto"/>
            <w:ind w:left="0" w:leftChars="0" w:right="0" w:rightChars="0" w:firstLine="0" w:firstLineChars="0"/>
            <w:jc w:val="center"/>
            <w:textAlignment w:val="auto"/>
            <w:rPr>
              <w:b/>
              <w:bCs/>
              <w:sz w:val="24"/>
              <w:szCs w:val="24"/>
            </w:rPr>
          </w:pPr>
          <w:r>
            <w:rPr>
              <w:rFonts w:hint="eastAsia" w:ascii="宋体" w:hAnsi="宋体" w:eastAsia="宋体" w:cstheme="minorBidi"/>
              <w:b/>
              <w:bCs/>
              <w:kern w:val="2"/>
              <w:sz w:val="24"/>
              <w:szCs w:val="24"/>
              <w:lang w:val="en-US" w:eastAsia="zh-CN" w:bidi="ar-SA"/>
            </w:rPr>
            <w:t>表</w:t>
          </w:r>
          <w:r>
            <w:rPr>
              <w:rFonts w:ascii="宋体" w:hAnsi="宋体" w:eastAsia="宋体"/>
              <w:b/>
              <w:bCs/>
              <w:sz w:val="24"/>
              <w:szCs w:val="24"/>
            </w:rPr>
            <w:t>目录</w:t>
          </w:r>
        </w:p>
        <w:p>
          <w:pPr>
            <w:jc w:val="distribute"/>
            <w:rPr>
              <w:rFonts w:hint="eastAsia" w:eastAsiaTheme="minorEastAsia"/>
              <w:lang w:eastAsia="zh-CN"/>
            </w:rPr>
          </w:pPr>
          <w:r>
            <w:rPr>
              <w:rFonts w:hint="eastAsia"/>
            </w:rPr>
            <w:t>表1-1：2022-2023年度科研课题统计表</w:t>
          </w:r>
          <w:r>
            <w:rPr>
              <w:rFonts w:hint="eastAsia"/>
              <w:lang w:eastAsia="zh-CN"/>
            </w:rPr>
            <w:t>……………………………………………………</w:t>
          </w:r>
          <w:r>
            <w:rPr>
              <w:rFonts w:hint="eastAsia"/>
            </w:rPr>
            <w:t>1</w:t>
          </w:r>
          <w:r>
            <w:rPr>
              <w:rFonts w:hint="eastAsia"/>
              <w:lang w:val="en-US" w:eastAsia="zh-CN"/>
            </w:rPr>
            <w:t>3</w:t>
          </w:r>
        </w:p>
        <w:p>
          <w:pPr>
            <w:jc w:val="distribute"/>
            <w:rPr>
              <w:rFonts w:hint="eastAsia"/>
              <w:lang w:val="en-US" w:eastAsia="zh-CN"/>
            </w:rPr>
          </w:pPr>
          <w:r>
            <w:rPr>
              <w:rFonts w:hint="eastAsia"/>
            </w:rPr>
            <w:t>表1-2：天津市信息工程学校专业设置一览表</w:t>
          </w:r>
          <w:r>
            <w:rPr>
              <w:rFonts w:hint="eastAsia"/>
              <w:lang w:eastAsia="zh-CN"/>
            </w:rPr>
            <w:t>………………………………………………</w:t>
          </w:r>
          <w:r>
            <w:rPr>
              <w:rFonts w:hint="eastAsia"/>
            </w:rPr>
            <w:t>1</w:t>
          </w:r>
          <w:r>
            <w:rPr>
              <w:rFonts w:hint="eastAsia"/>
              <w:lang w:val="en-US" w:eastAsia="zh-CN"/>
            </w:rPr>
            <w:t>6</w:t>
          </w:r>
        </w:p>
        <w:p>
          <w:pPr>
            <w:jc w:val="distribute"/>
            <w:rPr>
              <w:rFonts w:hint="eastAsia" w:eastAsiaTheme="minorEastAsia"/>
              <w:lang w:eastAsia="zh-CN"/>
            </w:rPr>
          </w:pPr>
          <w:r>
            <w:rPr>
              <w:rFonts w:hint="eastAsia"/>
            </w:rPr>
            <w:t>表1-3：市教委关于公布天津市职业教育创优赋能建设项目立项评审结果的通知</w:t>
          </w:r>
          <w:r>
            <w:rPr>
              <w:rFonts w:hint="eastAsia"/>
              <w:lang w:eastAsia="zh-CN"/>
            </w:rPr>
            <w:t>………</w:t>
          </w:r>
          <w:r>
            <w:rPr>
              <w:rFonts w:hint="eastAsia"/>
            </w:rPr>
            <w:t>1</w:t>
          </w:r>
          <w:r>
            <w:rPr>
              <w:rFonts w:hint="eastAsia"/>
              <w:lang w:val="en-US" w:eastAsia="zh-CN"/>
            </w:rPr>
            <w:t>7</w:t>
          </w:r>
        </w:p>
        <w:p>
          <w:pPr>
            <w:jc w:val="distribute"/>
            <w:rPr>
              <w:rFonts w:hint="default" w:eastAsiaTheme="minorEastAsia"/>
              <w:lang w:val="en-US" w:eastAsia="zh-CN"/>
            </w:rPr>
          </w:pPr>
          <w:r>
            <w:rPr>
              <w:rFonts w:hint="eastAsia"/>
            </w:rPr>
            <w:t>表1-4：天津市信息工程学校</w:t>
          </w:r>
          <w:r>
            <w:rPr>
              <w:rFonts w:hint="eastAsia"/>
              <w:lang w:val="en-US" w:eastAsia="zh-CN"/>
            </w:rPr>
            <w:t>2022年度天津市技能大赛获奖名单</w:t>
          </w:r>
          <w:r>
            <w:rPr>
              <w:rFonts w:hint="eastAsia"/>
              <w:lang w:eastAsia="zh-CN"/>
            </w:rPr>
            <w:t>…………………………</w:t>
          </w:r>
          <w:r>
            <w:rPr>
              <w:rFonts w:hint="eastAsia"/>
              <w:lang w:val="en-US" w:eastAsia="zh-CN"/>
            </w:rPr>
            <w:t>20</w:t>
          </w:r>
        </w:p>
        <w:p>
          <w:pPr>
            <w:jc w:val="distribute"/>
            <w:rPr>
              <w:rFonts w:hint="eastAsia" w:eastAsiaTheme="minorEastAsia"/>
              <w:lang w:eastAsia="zh-CN"/>
            </w:rPr>
          </w:pPr>
          <w:r>
            <w:rPr>
              <w:rFonts w:hint="eastAsia"/>
            </w:rPr>
            <w:t>表1-5： 2023年毕业生就业情况统计一览表</w:t>
          </w:r>
          <w:r>
            <w:rPr>
              <w:rFonts w:hint="eastAsia"/>
              <w:lang w:eastAsia="zh-CN"/>
            </w:rPr>
            <w:t>…………………………………………………</w:t>
          </w:r>
          <w:r>
            <w:rPr>
              <w:rFonts w:hint="eastAsia"/>
            </w:rPr>
            <w:t>2</w:t>
          </w:r>
          <w:r>
            <w:rPr>
              <w:rFonts w:hint="eastAsia"/>
              <w:lang w:val="en-US" w:eastAsia="zh-CN"/>
            </w:rPr>
            <w:t>4</w:t>
          </w:r>
        </w:p>
        <w:p>
          <w:pPr>
            <w:jc w:val="distribute"/>
            <w:rPr>
              <w:rFonts w:hint="eastAsia" w:eastAsiaTheme="minorEastAsia"/>
              <w:lang w:val="en-US" w:eastAsia="zh-CN"/>
            </w:rPr>
          </w:pPr>
          <w:r>
            <w:rPr>
              <w:rFonts w:hint="eastAsia"/>
            </w:rPr>
            <w:t>表5-1：重点专项资金支付情况表</w:t>
          </w:r>
          <w:r>
            <w:rPr>
              <w:rFonts w:hint="eastAsia"/>
              <w:lang w:eastAsia="zh-CN"/>
            </w:rPr>
            <w:t>……………………………………………………………</w:t>
          </w:r>
          <w:r>
            <w:rPr>
              <w:rFonts w:hint="eastAsia"/>
            </w:rPr>
            <w:t>4</w:t>
          </w:r>
          <w:r>
            <w:rPr>
              <w:rFonts w:hint="eastAsia"/>
              <w:lang w:val="en-US" w:eastAsia="zh-CN"/>
            </w:rPr>
            <w:t>2</w:t>
          </w:r>
        </w:p>
        <w:p>
          <w:pPr>
            <w:pageBreakBefore w:val="0"/>
            <w:tabs>
              <w:tab w:val="left" w:pos="958"/>
              <w:tab w:val="left" w:pos="1078"/>
            </w:tabs>
            <w:kinsoku/>
            <w:wordWrap/>
            <w:overflowPunct/>
            <w:topLinePunct w:val="0"/>
            <w:autoSpaceDE/>
            <w:autoSpaceDN/>
            <w:bidi w:val="0"/>
            <w:adjustRightInd/>
            <w:spacing w:line="240" w:lineRule="auto"/>
            <w:ind w:firstLine="422" w:firstLineChars="200"/>
            <w:outlineLvl w:val="9"/>
            <w:rPr>
              <w:rFonts w:hint="eastAsia" w:ascii="Times New Roman" w:hAnsi="Times New Roman" w:eastAsia="仿宋_GB2312" w:cs="Times New Roman"/>
              <w:bCs/>
              <w:kern w:val="2"/>
              <w:sz w:val="21"/>
              <w:szCs w:val="32"/>
              <w:lang w:val="en-US" w:eastAsia="zh-CN" w:bidi="ar-SA"/>
            </w:rPr>
          </w:pPr>
        </w:p>
      </w:sdtContent>
    </w:sdt>
    <w:p>
      <w:pPr>
        <w:pageBreakBefore w:val="0"/>
        <w:tabs>
          <w:tab w:val="left" w:pos="958"/>
          <w:tab w:val="left" w:pos="1078"/>
        </w:tabs>
        <w:kinsoku/>
        <w:wordWrap/>
        <w:overflowPunct/>
        <w:topLinePunct w:val="0"/>
        <w:autoSpaceDE/>
        <w:autoSpaceDN/>
        <w:bidi w:val="0"/>
        <w:adjustRightInd/>
        <w:spacing w:line="240" w:lineRule="auto"/>
        <w:ind w:firstLine="420" w:firstLineChars="200"/>
        <w:outlineLvl w:val="9"/>
        <w:rPr>
          <w:rFonts w:hint="eastAsia" w:ascii="Times New Roman" w:hAnsi="Times New Roman" w:eastAsia="仿宋_GB2312" w:cs="Times New Roman"/>
          <w:bCs/>
          <w:kern w:val="2"/>
          <w:sz w:val="21"/>
          <w:szCs w:val="32"/>
          <w:lang w:val="en-US" w:eastAsia="zh-CN" w:bidi="ar-SA"/>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9"/>
        <w:rPr>
          <w:rFonts w:hint="eastAsia" w:ascii="Times New Roman" w:hAnsi="Times New Roman" w:eastAsia="仿宋_GB2312" w:cs="Times New Roman"/>
          <w:b/>
          <w:bCs/>
          <w:sz w:val="32"/>
          <w:szCs w:val="32"/>
        </w:rPr>
        <w:sectPr>
          <w:footerReference r:id="rId7" w:type="default"/>
          <w:pgSz w:w="11906" w:h="16838"/>
          <w:pgMar w:top="1440" w:right="1800" w:bottom="1440" w:left="1800" w:header="851" w:footer="992" w:gutter="0"/>
          <w:pgNumType w:fmt="decimal" w:start="1"/>
          <w:cols w:space="425" w:num="1"/>
          <w:docGrid w:type="lines" w:linePitch="312" w:charSpace="0"/>
        </w:sect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0"/>
        <w:rPr>
          <w:rFonts w:hint="eastAsia" w:ascii="仿宋_GB2312" w:hAnsi="仿宋_GB2312" w:eastAsia="仿宋_GB2312" w:cs="仿宋_GB2312"/>
          <w:b/>
          <w:bCs/>
          <w:color w:val="auto"/>
          <w:sz w:val="32"/>
          <w:szCs w:val="32"/>
          <w:lang w:val="en-US" w:eastAsia="zh-CN"/>
        </w:rPr>
      </w:pPr>
      <w:bookmarkStart w:id="14" w:name="_Toc24927"/>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b/>
          <w:bCs/>
          <w:color w:val="auto"/>
          <w:sz w:val="32"/>
          <w:szCs w:val="32"/>
          <w:lang w:val="en-US" w:eastAsia="zh-CN"/>
        </w:rPr>
        <w:t>人才培养</w:t>
      </w:r>
      <w:bookmarkEnd w:id="14"/>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lang w:val="en-US" w:eastAsia="zh-CN"/>
        </w:rPr>
      </w:pPr>
      <w:bookmarkStart w:id="15" w:name="_Toc14696"/>
      <w:r>
        <w:rPr>
          <w:rFonts w:hint="eastAsia" w:ascii="仿宋_GB2312" w:hAnsi="仿宋_GB2312" w:eastAsia="仿宋_GB2312" w:cs="仿宋_GB2312"/>
          <w:b/>
          <w:bCs/>
          <w:color w:val="auto"/>
          <w:sz w:val="32"/>
          <w:szCs w:val="32"/>
          <w:lang w:val="en-US" w:eastAsia="zh-CN"/>
        </w:rPr>
        <w:t>1.1立德树人</w:t>
      </w:r>
      <w:bookmarkEnd w:id="15"/>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rPr>
        <w:t>1.1</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lang w:eastAsia="zh-CN"/>
        </w:rPr>
        <w:t>三全育人</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完善现有的德育管理规章制度体系，着力建设一支师德高尚、业务精良的班主任队伍，制定《天津市信息工程学校班主任工作流程》使班主任工作科学、有效。进一步修订《天津市信息工程学校学生管理规定》、《天津市信息工程学校宿舍管理规定》、《天津市信息工程学校校学生会规程》使学生管理更加规范。 </w:t>
      </w: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drawing>
          <wp:inline distT="0" distB="0" distL="114300" distR="114300">
            <wp:extent cx="2432685" cy="1824355"/>
            <wp:effectExtent l="0" t="0" r="5715" b="4445"/>
            <wp:docPr id="1" name="图片 1" descr="75e815bcff83977484a0b15c65b8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5e815bcff83977484a0b15c65b8b6c"/>
                    <pic:cNvPicPr>
                      <a:picLocks noChangeAspect="1"/>
                    </pic:cNvPicPr>
                  </pic:nvPicPr>
                  <pic:blipFill>
                    <a:blip r:embed="rId12"/>
                    <a:stretch>
                      <a:fillRect/>
                    </a:stretch>
                  </pic:blipFill>
                  <pic:spPr>
                    <a:xfrm>
                      <a:off x="0" y="0"/>
                      <a:ext cx="2432685" cy="182435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2539365" cy="1834515"/>
            <wp:effectExtent l="0" t="0" r="13335" b="13335"/>
            <wp:docPr id="20" name="图片 20" descr="ea44a8b7aa81bd88e48bef068585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a44a8b7aa81bd88e48bef068585a2d"/>
                    <pic:cNvPicPr>
                      <a:picLocks noChangeAspect="1"/>
                    </pic:cNvPicPr>
                  </pic:nvPicPr>
                  <pic:blipFill>
                    <a:blip r:embed="rId13"/>
                    <a:stretch>
                      <a:fillRect/>
                    </a:stretch>
                  </pic:blipFill>
                  <pic:spPr>
                    <a:xfrm>
                      <a:off x="0" y="0"/>
                      <a:ext cx="2539365" cy="183451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line="240" w:lineRule="auto"/>
        <w:jc w:val="left"/>
        <w:outlineLvl w:val="1"/>
        <w:rPr>
          <w:rStyle w:val="27"/>
          <w:rFonts w:hint="eastAsia"/>
          <w:lang w:val="en-US" w:eastAsia="zh-CN"/>
        </w:rPr>
      </w:pPr>
      <w:r>
        <w:rPr>
          <w:rFonts w:hint="eastAsia" w:ascii="仿宋_GB2312" w:hAnsi="仿宋_GB2312" w:eastAsia="仿宋_GB2312" w:cs="仿宋_GB2312"/>
          <w:color w:val="auto"/>
          <w:kern w:val="0"/>
          <w:sz w:val="24"/>
          <w:szCs w:val="24"/>
          <w:lang w:val="en-US" w:eastAsia="zh-CN" w:bidi="ar"/>
        </w:rPr>
        <w:t xml:space="preserve"> </w:t>
      </w:r>
      <w:bookmarkStart w:id="16" w:name="_Toc19763"/>
      <w:r>
        <w:rPr>
          <w:rStyle w:val="27"/>
          <w:rFonts w:hint="eastAsia"/>
          <w:lang w:val="en-US" w:eastAsia="zh-CN"/>
        </w:rPr>
        <w:t>图1-1：2023-2024学年度学生会换届选举</w:t>
      </w:r>
      <w:r>
        <w:rPr>
          <w:rFonts w:hint="eastAsia" w:ascii="仿宋_GB2312" w:hAnsi="仿宋_GB2312" w:eastAsia="仿宋_GB2312" w:cs="仿宋_GB2312"/>
          <w:color w:val="auto"/>
          <w:kern w:val="0"/>
          <w:sz w:val="28"/>
          <w:szCs w:val="28"/>
          <w:lang w:val="en-US" w:eastAsia="zh-CN" w:bidi="ar"/>
        </w:rPr>
        <w:t xml:space="preserve">   </w:t>
      </w:r>
      <w:r>
        <w:rPr>
          <w:rFonts w:hint="eastAsia" w:ascii="仿宋_GB2312" w:hAnsi="仿宋_GB2312" w:eastAsia="仿宋_GB2312" w:cs="仿宋_GB2312"/>
          <w:color w:val="auto"/>
          <w:kern w:val="0"/>
          <w:sz w:val="24"/>
          <w:szCs w:val="24"/>
          <w:lang w:val="en-US" w:eastAsia="zh-CN" w:bidi="ar"/>
        </w:rPr>
        <w:t xml:space="preserve">   </w:t>
      </w:r>
      <w:r>
        <w:rPr>
          <w:rStyle w:val="27"/>
          <w:rFonts w:hint="eastAsia"/>
          <w:lang w:val="en-US" w:eastAsia="zh-CN"/>
        </w:rPr>
        <w:t>图1-2：宿舍管理制度</w:t>
      </w:r>
      <w:bookmarkEnd w:id="16"/>
    </w:p>
    <w:p>
      <w:pPr>
        <w:keepNext w:val="0"/>
        <w:keepLines w:val="0"/>
        <w:pageBreakBefore w:val="0"/>
        <w:widowControl/>
        <w:suppressLineNumbers w:val="0"/>
        <w:kinsoku/>
        <w:wordWrap/>
        <w:overflowPunct/>
        <w:topLinePunct w:val="0"/>
        <w:autoSpaceDE/>
        <w:autoSpaceDN/>
        <w:bidi w:val="0"/>
        <w:adjustRightInd/>
        <w:spacing w:line="240" w:lineRule="auto"/>
        <w:ind w:firstLine="643" w:firstLineChars="200"/>
        <w:jc w:val="left"/>
        <w:outlineLvl w:val="2"/>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1.1.2五育并举</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 xml:space="preserve">学校对学生开展防范传染病教育、生命教育、感恩教育、禁毒教育、法制教育、心理健康教育、安全教育、反诈骗教育、防范校园欺凌、爱国主义教育，定期举行防火、防震逃生应急演，提高学生的安全意识和自救能力。通过建立家长委员会、召开家长会提高家校教育水平。通过校园广播、校园橱窗、宣传标语、电子屏营造高雅的校园文化氛围，传播高尚的校园文化气息，用校园文化浸润学生成长。目之所及，耳之所闻，校园的每 角落，每个细节，都赋予了校园文化的质感，影响着师生的一言一行。结合学校实际和学生特点，组织新生入学教育，培养学生吃苦耐劳的精神和团队合作的意识；通过行为规范巩固，提高学生遵规守纪的自律意识；通过组织学生参加社会公益活动和值周活动，在学生中弘扬劳动精神，教育引导学生崇尚劳动、尊重劳动。 </w:t>
      </w: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drawing>
          <wp:inline distT="0" distB="0" distL="114300" distR="114300">
            <wp:extent cx="2621915" cy="1875790"/>
            <wp:effectExtent l="0" t="0" r="6985" b="10160"/>
            <wp:docPr id="21" name="图片 21" descr="6c6656f2743d76f61418747e073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c6656f2743d76f61418747e0731749"/>
                    <pic:cNvPicPr>
                      <a:picLocks noChangeAspect="1"/>
                    </pic:cNvPicPr>
                  </pic:nvPicPr>
                  <pic:blipFill>
                    <a:blip r:embed="rId14"/>
                    <a:stretch>
                      <a:fillRect/>
                    </a:stretch>
                  </pic:blipFill>
                  <pic:spPr>
                    <a:xfrm>
                      <a:off x="0" y="0"/>
                      <a:ext cx="2621915" cy="187579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2613025" cy="1896110"/>
            <wp:effectExtent l="0" t="0" r="15875" b="8890"/>
            <wp:docPr id="22" name="图片 22" descr="a190e76176cc3d6368ea58e27f3a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190e76176cc3d6368ea58e27f3a16a"/>
                    <pic:cNvPicPr>
                      <a:picLocks noChangeAspect="1"/>
                    </pic:cNvPicPr>
                  </pic:nvPicPr>
                  <pic:blipFill>
                    <a:blip r:embed="rId15"/>
                    <a:stretch>
                      <a:fillRect/>
                    </a:stretch>
                  </pic:blipFill>
                  <pic:spPr>
                    <a:xfrm>
                      <a:off x="0" y="0"/>
                      <a:ext cx="2613025" cy="1896110"/>
                    </a:xfrm>
                    <a:prstGeom prst="rect">
                      <a:avLst/>
                    </a:prstGeom>
                  </pic:spPr>
                </pic:pic>
              </a:graphicData>
            </a:graphic>
          </wp:inline>
        </w:drawing>
      </w:r>
    </w:p>
    <w:p>
      <w:pPr>
        <w:pStyle w:val="6"/>
        <w:bidi w:val="0"/>
        <w:jc w:val="center"/>
        <w:rPr>
          <w:rFonts w:hint="eastAsia"/>
          <w:lang w:val="en-US" w:eastAsia="zh-CN"/>
        </w:rPr>
      </w:pPr>
      <w:r>
        <w:rPr>
          <w:rFonts w:hint="eastAsia"/>
          <w:lang w:val="en-US" w:eastAsia="zh-CN"/>
        </w:rPr>
        <w:t>图1-3：心理健康教育             图 1-4：传染病预防教育</w:t>
      </w: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lang w:eastAsia="zh-CN"/>
        </w:rPr>
        <w:drawing>
          <wp:inline distT="0" distB="0" distL="114300" distR="114300">
            <wp:extent cx="2616835" cy="1963420"/>
            <wp:effectExtent l="0" t="0" r="12065" b="17780"/>
            <wp:docPr id="24" name="图片 24" descr="微信图片_20230625143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06251433052"/>
                    <pic:cNvPicPr>
                      <a:picLocks noChangeAspect="1"/>
                    </pic:cNvPicPr>
                  </pic:nvPicPr>
                  <pic:blipFill>
                    <a:blip r:embed="rId16"/>
                    <a:stretch>
                      <a:fillRect/>
                    </a:stretch>
                  </pic:blipFill>
                  <pic:spPr>
                    <a:xfrm>
                      <a:off x="0" y="0"/>
                      <a:ext cx="2616835" cy="196342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2619375" cy="1964690"/>
            <wp:effectExtent l="0" t="0" r="9525" b="16510"/>
            <wp:docPr id="25" name="图片 25" descr="74e1e76a18930cd9cd87f68c19a5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4e1e76a18930cd9cd87f68c19a50cb"/>
                    <pic:cNvPicPr>
                      <a:picLocks noChangeAspect="1"/>
                    </pic:cNvPicPr>
                  </pic:nvPicPr>
                  <pic:blipFill>
                    <a:blip r:embed="rId17"/>
                    <a:stretch>
                      <a:fillRect/>
                    </a:stretch>
                  </pic:blipFill>
                  <pic:spPr>
                    <a:xfrm>
                      <a:off x="0" y="0"/>
                      <a:ext cx="2619375" cy="1964690"/>
                    </a:xfrm>
                    <a:prstGeom prst="rect">
                      <a:avLst/>
                    </a:prstGeom>
                  </pic:spPr>
                </pic:pic>
              </a:graphicData>
            </a:graphic>
          </wp:inline>
        </w:drawing>
      </w:r>
    </w:p>
    <w:p>
      <w:pPr>
        <w:pStyle w:val="6"/>
        <w:bidi w:val="0"/>
        <w:jc w:val="center"/>
        <w:rPr>
          <w:rFonts w:hint="eastAsia"/>
          <w:lang w:val="en-US" w:eastAsia="zh-CN"/>
        </w:rPr>
      </w:pPr>
      <w:r>
        <w:rPr>
          <w:rFonts w:hint="eastAsia"/>
          <w:lang w:val="en-US" w:eastAsia="zh-CN"/>
        </w:rPr>
        <w:t>图1-5：禁毒教育                    图 1-6：法制教育</w:t>
      </w: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color w:val="auto"/>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sz w:val="32"/>
          <w:szCs w:val="32"/>
          <w:lang w:eastAsia="zh-CN"/>
        </w:rPr>
        <w:drawing>
          <wp:inline distT="0" distB="0" distL="114300" distR="114300">
            <wp:extent cx="2587625" cy="1941195"/>
            <wp:effectExtent l="0" t="0" r="3175" b="1905"/>
            <wp:docPr id="27" name="图片 27" descr="微信图片_20220420164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04201644134"/>
                    <pic:cNvPicPr>
                      <a:picLocks noChangeAspect="1"/>
                    </pic:cNvPicPr>
                  </pic:nvPicPr>
                  <pic:blipFill>
                    <a:blip r:embed="rId18"/>
                    <a:stretch>
                      <a:fillRect/>
                    </a:stretch>
                  </pic:blipFill>
                  <pic:spPr>
                    <a:xfrm>
                      <a:off x="0" y="0"/>
                      <a:ext cx="2587625" cy="1941195"/>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2587625" cy="1941195"/>
            <wp:effectExtent l="0" t="0" r="3175" b="1905"/>
            <wp:docPr id="28" name="图片 28" descr="微信图片_2022042016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0420164413"/>
                    <pic:cNvPicPr>
                      <a:picLocks noChangeAspect="1"/>
                    </pic:cNvPicPr>
                  </pic:nvPicPr>
                  <pic:blipFill>
                    <a:blip r:embed="rId19"/>
                    <a:stretch>
                      <a:fillRect/>
                    </a:stretch>
                  </pic:blipFill>
                  <pic:spPr>
                    <a:xfrm>
                      <a:off x="0" y="0"/>
                      <a:ext cx="2587625" cy="1941195"/>
                    </a:xfrm>
                    <a:prstGeom prst="rect">
                      <a:avLst/>
                    </a:prstGeom>
                  </pic:spPr>
                </pic:pic>
              </a:graphicData>
            </a:graphic>
          </wp:inline>
        </w:drawing>
      </w:r>
    </w:p>
    <w:p>
      <w:pPr>
        <w:pStyle w:val="6"/>
        <w:bidi w:val="0"/>
        <w:jc w:val="center"/>
        <w:rPr>
          <w:rFonts w:hint="eastAsia"/>
          <w:lang w:val="en-US" w:eastAsia="zh-CN"/>
        </w:rPr>
      </w:pPr>
      <w:r>
        <w:rPr>
          <w:rFonts w:hint="eastAsia"/>
          <w:lang w:val="en-US" w:eastAsia="zh-CN"/>
        </w:rPr>
        <w:t>图1-7：防火应急演练                        图1-8：防震应急演练</w:t>
      </w:r>
    </w:p>
    <w:p>
      <w:pPr>
        <w:pStyle w:val="6"/>
        <w:bidi w:val="0"/>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color w:val="auto"/>
          <w:sz w:val="32"/>
          <w:szCs w:val="32"/>
          <w:lang w:eastAsia="zh-CN"/>
        </w:rPr>
        <w:drawing>
          <wp:inline distT="0" distB="0" distL="114300" distR="114300">
            <wp:extent cx="2587625" cy="2113280"/>
            <wp:effectExtent l="0" t="0" r="3175" b="1270"/>
            <wp:docPr id="29" name="图片 29" descr="2023-2024电信诈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3-2024电信诈骗1"/>
                    <pic:cNvPicPr>
                      <a:picLocks noChangeAspect="1"/>
                    </pic:cNvPicPr>
                  </pic:nvPicPr>
                  <pic:blipFill>
                    <a:blip r:embed="rId20"/>
                    <a:stretch>
                      <a:fillRect/>
                    </a:stretch>
                  </pic:blipFill>
                  <pic:spPr>
                    <a:xfrm>
                      <a:off x="0" y="0"/>
                      <a:ext cx="2587625" cy="211328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2536190" cy="2101850"/>
            <wp:effectExtent l="0" t="0" r="16510" b="12700"/>
            <wp:docPr id="30" name="图片 30" descr="微信图片_2022093010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0930103225"/>
                    <pic:cNvPicPr>
                      <a:picLocks noChangeAspect="1"/>
                    </pic:cNvPicPr>
                  </pic:nvPicPr>
                  <pic:blipFill>
                    <a:blip r:embed="rId21"/>
                    <a:stretch>
                      <a:fillRect/>
                    </a:stretch>
                  </pic:blipFill>
                  <pic:spPr>
                    <a:xfrm>
                      <a:off x="0" y="0"/>
                      <a:ext cx="2536190" cy="210185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line="240" w:lineRule="auto"/>
        <w:jc w:val="center"/>
        <w:rPr>
          <w:rStyle w:val="27"/>
          <w:rFonts w:hint="eastAsia"/>
          <w:lang w:val="en-US" w:eastAsia="zh-CN"/>
        </w:rPr>
      </w:pPr>
      <w:r>
        <w:rPr>
          <w:rStyle w:val="27"/>
          <w:rFonts w:hint="eastAsia"/>
          <w:lang w:val="en-US" w:eastAsia="zh-CN"/>
        </w:rPr>
        <w:t>图1-9：防电信诈骗                     图1-10：爱国主义教育</w:t>
      </w:r>
    </w:p>
    <w:p>
      <w:pPr>
        <w:keepNext w:val="0"/>
        <w:keepLines w:val="0"/>
        <w:pageBreakBefore w:val="0"/>
        <w:widowControl/>
        <w:suppressLineNumbers w:val="0"/>
        <w:kinsoku/>
        <w:wordWrap/>
        <w:overflowPunct/>
        <w:topLinePunct w:val="0"/>
        <w:autoSpaceDE/>
        <w:autoSpaceDN/>
        <w:bidi w:val="0"/>
        <w:adjustRightInd/>
        <w:spacing w:line="240" w:lineRule="auto"/>
        <w:jc w:val="center"/>
        <w:rPr>
          <w:rStyle w:val="27"/>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2639060" cy="2311400"/>
            <wp:effectExtent l="0" t="0" r="8890" b="12700"/>
            <wp:docPr id="31" name="图片 31" descr="DJI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JI_0105"/>
                    <pic:cNvPicPr>
                      <a:picLocks noChangeAspect="1"/>
                    </pic:cNvPicPr>
                  </pic:nvPicPr>
                  <pic:blipFill>
                    <a:blip r:embed="rId22"/>
                    <a:stretch>
                      <a:fillRect/>
                    </a:stretch>
                  </pic:blipFill>
                  <pic:spPr>
                    <a:xfrm>
                      <a:off x="0" y="0"/>
                      <a:ext cx="2639060" cy="231140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2480310" cy="2327275"/>
            <wp:effectExtent l="0" t="0" r="15240" b="15875"/>
            <wp:docPr id="32" name="图片 32" descr="ce3ee94e998a096047c845f4078e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e3ee94e998a096047c845f4078ee8c"/>
                    <pic:cNvPicPr>
                      <a:picLocks noChangeAspect="1"/>
                    </pic:cNvPicPr>
                  </pic:nvPicPr>
                  <pic:blipFill>
                    <a:blip r:embed="rId23"/>
                    <a:stretch>
                      <a:fillRect/>
                    </a:stretch>
                  </pic:blipFill>
                  <pic:spPr>
                    <a:xfrm>
                      <a:off x="0" y="0"/>
                      <a:ext cx="2480310" cy="2327275"/>
                    </a:xfrm>
                    <a:prstGeom prst="rect">
                      <a:avLst/>
                    </a:prstGeom>
                  </pic:spPr>
                </pic:pic>
              </a:graphicData>
            </a:graphic>
          </wp:inline>
        </w:drawing>
      </w:r>
    </w:p>
    <w:p>
      <w:pPr>
        <w:pStyle w:val="6"/>
        <w:bidi w:val="0"/>
        <w:jc w:val="center"/>
        <w:rPr>
          <w:rFonts w:hint="eastAsia"/>
          <w:lang w:val="en-US" w:eastAsia="zh-CN"/>
        </w:rPr>
      </w:pPr>
      <w:r>
        <w:rPr>
          <w:rFonts w:hint="eastAsia"/>
          <w:lang w:val="en-US" w:eastAsia="zh-CN"/>
        </w:rPr>
        <w:t>图1-11：防溺水教育                         图1-12：防范校园欺凌教育</w:t>
      </w: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drawing>
          <wp:inline distT="0" distB="0" distL="114300" distR="114300">
            <wp:extent cx="2370455" cy="1778635"/>
            <wp:effectExtent l="0" t="0" r="10795" b="12065"/>
            <wp:docPr id="33" name="图片 33" descr="35a13a9f753d99f4e10f697b13d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5a13a9f753d99f4e10f697b13d6825"/>
                    <pic:cNvPicPr>
                      <a:picLocks noChangeAspect="1"/>
                    </pic:cNvPicPr>
                  </pic:nvPicPr>
                  <pic:blipFill>
                    <a:blip r:embed="rId24"/>
                    <a:stretch>
                      <a:fillRect/>
                    </a:stretch>
                  </pic:blipFill>
                  <pic:spPr>
                    <a:xfrm>
                      <a:off x="0" y="0"/>
                      <a:ext cx="2370455" cy="1778635"/>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2699385" cy="1802130"/>
            <wp:effectExtent l="0" t="0" r="5715" b="7620"/>
            <wp:docPr id="34" name="图片 34" descr="c3934dd0ed464ea3085f52a18bcfc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3934dd0ed464ea3085f52a18bcfc0f9"/>
                    <pic:cNvPicPr>
                      <a:picLocks noChangeAspect="1"/>
                    </pic:cNvPicPr>
                  </pic:nvPicPr>
                  <pic:blipFill>
                    <a:blip r:embed="rId25"/>
                    <a:stretch>
                      <a:fillRect/>
                    </a:stretch>
                  </pic:blipFill>
                  <pic:spPr>
                    <a:xfrm>
                      <a:off x="0" y="0"/>
                      <a:ext cx="2699385" cy="180213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line="240" w:lineRule="auto"/>
        <w:jc w:val="center"/>
        <w:rPr>
          <w:rStyle w:val="27"/>
          <w:rFonts w:hint="eastAsia"/>
          <w:lang w:val="en-US" w:eastAsia="zh-CN"/>
        </w:rPr>
      </w:pPr>
      <w:r>
        <w:rPr>
          <w:rStyle w:val="27"/>
          <w:rFonts w:hint="eastAsia"/>
          <w:lang w:val="en-US" w:eastAsia="zh-CN"/>
        </w:rPr>
        <w:t>图1-13：入学教育                    图1-14：家长委员会</w:t>
      </w:r>
    </w:p>
    <w:p>
      <w:pPr>
        <w:pStyle w:val="3"/>
        <w:bidi w:val="0"/>
        <w:rPr>
          <w:rFonts w:hint="eastAsia"/>
          <w:lang w:val="en-US" w:eastAsia="zh-CN"/>
        </w:rPr>
      </w:pPr>
      <w:bookmarkStart w:id="17" w:name="_Toc7315"/>
      <w:r>
        <w:rPr>
          <w:rFonts w:hint="eastAsia"/>
          <w:lang w:val="en-US" w:eastAsia="zh-CN"/>
        </w:rPr>
        <w:t>案例 1-1：小寝室，大文章——以宿舍文化为起点，培育学生职业素养</w:t>
      </w:r>
      <w:bookmarkEnd w:id="17"/>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宿舍是学生休息、生活、交往的重要场所，也是进行道德教育的好阵地。“宿舍小天地、人格大文章”的宿舍精神和“先扫床铺，再扫一屋，而后校园；净洁精神，修炼品格，净扫天下，境界人生”，学生每天早晨、中午要进行两次卫生内务整理，做到地板墙面光亮整洁，被子方方正正成为豆腐块，洗漱用品整整齐齐，床上、床下两个“一条线”。宿舍文化已经成为学校校园文化的品牌、德育教育的亮点，得到了国内知名专家教授的高度评价，市、区领导和教育同行多次来校参观宿舍并给予一致好评。</w:t>
      </w: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drawing>
          <wp:inline distT="0" distB="0" distL="114300" distR="114300">
            <wp:extent cx="2439035" cy="1999615"/>
            <wp:effectExtent l="0" t="0" r="18415" b="635"/>
            <wp:docPr id="35" name="图片 1" descr="方块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方块被"/>
                    <pic:cNvPicPr>
                      <a:picLocks noChangeAspect="1"/>
                    </pic:cNvPicPr>
                  </pic:nvPicPr>
                  <pic:blipFill>
                    <a:blip r:embed="rId26"/>
                    <a:stretch>
                      <a:fillRect/>
                    </a:stretch>
                  </pic:blipFill>
                  <pic:spPr>
                    <a:xfrm>
                      <a:off x="0" y="0"/>
                      <a:ext cx="2439035" cy="1999615"/>
                    </a:xfrm>
                    <a:prstGeom prst="rect">
                      <a:avLst/>
                    </a:prstGeom>
                    <a:noFill/>
                    <a:ln>
                      <a:noFill/>
                    </a:ln>
                  </pic:spPr>
                </pic:pic>
              </a:graphicData>
            </a:graphic>
          </wp:inline>
        </w:drawing>
      </w:r>
      <w:r>
        <w:rPr>
          <w:rFonts w:hint="eastAsia" w:ascii="仿宋_GB2312" w:hAnsi="仿宋_GB2312" w:eastAsia="仿宋_GB2312" w:cs="仿宋_GB2312"/>
          <w:b/>
          <w:bCs/>
          <w:color w:val="auto"/>
          <w:kern w:val="0"/>
          <w:sz w:val="32"/>
          <w:szCs w:val="32"/>
          <w:lang w:val="en-US" w:eastAsia="zh-CN" w:bidi="ar"/>
        </w:rPr>
        <w:drawing>
          <wp:inline distT="0" distB="0" distL="114300" distR="114300">
            <wp:extent cx="2773680" cy="2007235"/>
            <wp:effectExtent l="0" t="0" r="7620" b="12065"/>
            <wp:docPr id="36" name="图片 36" descr="2d1138dcb39b9d94ff9f27b5e8f2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d1138dcb39b9d94ff9f27b5e8f2ece"/>
                    <pic:cNvPicPr>
                      <a:picLocks noChangeAspect="1"/>
                    </pic:cNvPicPr>
                  </pic:nvPicPr>
                  <pic:blipFill>
                    <a:blip r:embed="rId27"/>
                    <a:stretch>
                      <a:fillRect/>
                    </a:stretch>
                  </pic:blipFill>
                  <pic:spPr>
                    <a:xfrm>
                      <a:off x="0" y="0"/>
                      <a:ext cx="2773680" cy="200723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2555240" cy="1747520"/>
            <wp:effectExtent l="0" t="0" r="16510" b="5080"/>
            <wp:docPr id="37" name="图片 37" descr="宿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宿舍1"/>
                    <pic:cNvPicPr>
                      <a:picLocks noChangeAspect="1"/>
                    </pic:cNvPicPr>
                  </pic:nvPicPr>
                  <pic:blipFill>
                    <a:blip r:embed="rId28"/>
                    <a:stretch>
                      <a:fillRect/>
                    </a:stretch>
                  </pic:blipFill>
                  <pic:spPr>
                    <a:xfrm>
                      <a:off x="0" y="0"/>
                      <a:ext cx="2555240" cy="1747520"/>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2652395" cy="1734820"/>
            <wp:effectExtent l="0" t="0" r="14605" b="17780"/>
            <wp:docPr id="38" name="图片 38" descr="宿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宿舍2"/>
                    <pic:cNvPicPr>
                      <a:picLocks noChangeAspect="1"/>
                    </pic:cNvPicPr>
                  </pic:nvPicPr>
                  <pic:blipFill>
                    <a:blip r:embed="rId29"/>
                    <a:stretch>
                      <a:fillRect/>
                    </a:stretch>
                  </pic:blipFill>
                  <pic:spPr>
                    <a:xfrm>
                      <a:off x="0" y="0"/>
                      <a:ext cx="2652395" cy="1734820"/>
                    </a:xfrm>
                    <a:prstGeom prst="rect">
                      <a:avLst/>
                    </a:prstGeom>
                  </pic:spPr>
                </pic:pic>
              </a:graphicData>
            </a:graphic>
          </wp:inline>
        </w:drawing>
      </w:r>
    </w:p>
    <w:p>
      <w:pPr>
        <w:pStyle w:val="6"/>
        <w:bidi w:val="0"/>
        <w:ind w:firstLine="2520" w:firstLineChars="1200"/>
        <w:jc w:val="left"/>
        <w:rPr>
          <w:rFonts w:hint="default" w:ascii="仿宋_GB2312" w:hAnsi="仿宋_GB2312" w:eastAsia="仿宋_GB2312" w:cs="仿宋_GB2312"/>
          <w:color w:val="auto"/>
          <w:szCs w:val="24"/>
          <w:lang w:val="en-US" w:eastAsia="zh-CN"/>
        </w:rPr>
      </w:pPr>
      <w:r>
        <w:rPr>
          <w:rFonts w:hint="eastAsia"/>
          <w:lang w:val="en-US" w:eastAsia="zh-CN"/>
        </w:rPr>
        <w:t>图1-15：学生宿舍内务展示</w:t>
      </w:r>
    </w:p>
    <w:p>
      <w:pPr>
        <w:keepNext w:val="0"/>
        <w:keepLines w:val="0"/>
        <w:pageBreakBefore w:val="0"/>
        <w:widowControl/>
        <w:suppressLineNumbers w:val="0"/>
        <w:kinsoku/>
        <w:wordWrap/>
        <w:overflowPunct/>
        <w:topLinePunct w:val="0"/>
        <w:autoSpaceDE/>
        <w:autoSpaceDN/>
        <w:bidi w:val="0"/>
        <w:adjustRightInd/>
        <w:spacing w:line="240" w:lineRule="auto"/>
        <w:ind w:firstLine="643" w:firstLineChars="200"/>
        <w:jc w:val="left"/>
        <w:outlineLvl w:val="2"/>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1.1.3育人体系</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bidi="ar"/>
        </w:rPr>
        <w:t xml:space="preserve">学校严格执行上级的各项安全管理规定，认真落实安全责任制和责任追究制。着力做好日常各项各类安全隐患的日常排查工作，消除各种安全隐患。在全校师生的共同努力下实现了教学、学生管理、食品、校舍、用水、 用电、群体活动等工作零事故的目标。学校教育坚持立德树人，德育为先的理念，紧紧围绕习近平总书记在全国教育大会上的重要讲话精神，引导学生开展多种多样的德育活动践行社会主义核心价值观，发挥了学生的主体性，塑造了学生自由人格，增强了学生社会责任感。提升安保技防设施，加强安保人员日常安全防范意识防范技能，落实教师工作安全责任，强化师生安全意识，加强矛盾化解，确保了学生在校平安、快乐成长，学生校园安全满意度达100%。 </w:t>
      </w:r>
      <w:r>
        <w:rPr>
          <w:rFonts w:hint="eastAsia" w:ascii="仿宋_GB2312" w:hAnsi="仿宋_GB2312" w:eastAsia="仿宋_GB2312" w:cs="仿宋_GB2312"/>
          <w:color w:val="auto"/>
          <w:sz w:val="32"/>
          <w:szCs w:val="32"/>
          <w:lang w:val="en-US" w:eastAsia="zh-CN"/>
        </w:rPr>
        <w:t>学校建立了完善的学生资助工作体系，成立了学生资助领导小组，</w:t>
      </w:r>
      <w:r>
        <w:rPr>
          <w:rFonts w:hint="eastAsia" w:ascii="仿宋_GB2312" w:hAnsi="仿宋_GB2312" w:eastAsia="仿宋_GB2312" w:cs="仿宋_GB2312"/>
          <w:color w:val="auto"/>
          <w:kern w:val="0"/>
          <w:sz w:val="32"/>
          <w:szCs w:val="32"/>
          <w:lang w:val="en-US" w:eastAsia="zh-CN" w:bidi="ar"/>
        </w:rPr>
        <w:t>资助资金发放管理严格遵守教委资助管理和财务资助管理相关制度要求，做到了按时足额发放学生助学金、国家奖学金。严格按照专款专用原则，资金使用合法合规、账目清晰、核算规范。历次发放均有发放明细表，发放形式均以银行转账方式足额发放到学生本人银行卡中做到“到人到户”。</w:t>
      </w:r>
      <w:r>
        <w:rPr>
          <w:rFonts w:hint="eastAsia" w:ascii="仿宋_GB2312" w:hAnsi="仿宋_GB2312" w:eastAsia="仿宋_GB2312" w:cs="仿宋_GB2312"/>
          <w:color w:val="auto"/>
          <w:sz w:val="32"/>
          <w:szCs w:val="32"/>
          <w:lang w:val="en-US" w:eastAsia="zh-CN"/>
        </w:rPr>
        <w:t>学校资助育人工作扎实稳步推进，建立了家校联动机制，关注受助学生的身心发展，在家庭亲子关系和学业困难等方面及时给与学生帮助，积极开展法治教育，诚信教育，励志教育，感恩教育。结合我校实际情况，开展特色资助工作，开展“助学.筑梦.铸人”主题教育，形成特色经验，并在一定范围内推广。</w:t>
      </w:r>
    </w:p>
    <w:p>
      <w:pPr>
        <w:pStyle w:val="3"/>
        <w:bidi w:val="0"/>
        <w:ind w:firstLine="1285" w:firstLineChars="400"/>
        <w:rPr>
          <w:rFonts w:hint="eastAsia"/>
        </w:rPr>
      </w:pPr>
      <w:bookmarkStart w:id="18" w:name="_Toc13022"/>
      <w:bookmarkStart w:id="19" w:name="_Toc18879"/>
      <w:r>
        <w:rPr>
          <w:rFonts w:hint="eastAsia"/>
          <w:lang w:val="en-US" w:eastAsia="zh-CN"/>
        </w:rPr>
        <w:t>案例1-2：</w:t>
      </w:r>
      <w:r>
        <w:rPr>
          <w:rFonts w:hint="eastAsia"/>
        </w:rPr>
        <w:t>网络瞬间拉近了我们的距离</w:t>
      </w:r>
      <w:bookmarkEnd w:id="18"/>
      <w:bookmarkEnd w:id="19"/>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网络学习空间的建立是为了让学生应用网络学习空间开展自主、合作、探究式学习，完全没有想到的是：它成了我们俩情感沟通的桥梁。</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课程正在进行，</w:t>
      </w:r>
      <w:r>
        <w:rPr>
          <w:rFonts w:hint="eastAsia" w:ascii="仿宋_GB2312" w:hAnsi="仿宋_GB2312" w:eastAsia="仿宋_GB2312" w:cs="仿宋_GB2312"/>
          <w:sz w:val="32"/>
          <w:szCs w:val="32"/>
        </w:rPr>
        <w:t>我的私聊窗口出现了一句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老师，我想……，是班上一直不善言谈的王鑫，我回复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我在！</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“我想和您说的，与这节课内容无关！”</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“没关系，课程内容一直在，老师相信你会找时间补上的！”</w:t>
      </w:r>
      <w:r>
        <w:rPr>
          <w:rFonts w:hint="eastAsia" w:ascii="仿宋_GB2312" w:hAnsi="仿宋_GB2312" w:eastAsia="仿宋_GB2312" w:cs="仿宋_GB2312"/>
          <w:sz w:val="32"/>
          <w:szCs w:val="32"/>
          <w:lang w:val="en-US" w:eastAsia="zh-CN"/>
        </w:rPr>
        <w:t>我</w:t>
      </w:r>
      <w:r>
        <w:rPr>
          <w:rFonts w:hint="eastAsia" w:ascii="仿宋_GB2312" w:hAnsi="仿宋_GB2312" w:eastAsia="仿宋_GB2312" w:cs="仿宋_GB2312"/>
          <w:sz w:val="32"/>
          <w:szCs w:val="32"/>
        </w:rPr>
        <w:t>感觉到她有了向别人敞开心扉的需求与勇气，一定要</w:t>
      </w:r>
      <w:r>
        <w:rPr>
          <w:rFonts w:hint="eastAsia" w:ascii="仿宋_GB2312" w:hAnsi="仿宋_GB2312" w:eastAsia="仿宋_GB2312" w:cs="仿宋_GB2312"/>
          <w:sz w:val="32"/>
          <w:szCs w:val="32"/>
          <w:lang w:val="en-US" w:eastAsia="zh-CN"/>
        </w:rPr>
        <w:t>借机</w:t>
      </w:r>
      <w:r>
        <w:rPr>
          <w:rFonts w:hint="eastAsia" w:ascii="仿宋_GB2312" w:hAnsi="仿宋_GB2312" w:eastAsia="仿宋_GB2312" w:cs="仿宋_GB2312"/>
          <w:sz w:val="32"/>
          <w:szCs w:val="32"/>
        </w:rPr>
        <w:t>打开她的心结。</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“我感觉自己好没用”</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“没有呀，</w:t>
      </w:r>
      <w:r>
        <w:rPr>
          <w:rFonts w:hint="eastAsia" w:ascii="仿宋_GB2312" w:hAnsi="仿宋_GB2312" w:eastAsia="仿宋_GB2312" w:cs="仿宋_GB2312"/>
          <w:sz w:val="32"/>
          <w:szCs w:val="32"/>
          <w:lang w:val="en-US" w:eastAsia="zh-CN"/>
        </w:rPr>
        <w:t>你坚韧的精神是我们学习的榜样，还</w:t>
      </w:r>
      <w:r>
        <w:rPr>
          <w:rFonts w:hint="eastAsia" w:ascii="仿宋_GB2312" w:hAnsi="仿宋_GB2312" w:eastAsia="仿宋_GB2312" w:cs="仿宋_GB2312"/>
          <w:sz w:val="32"/>
          <w:szCs w:val="32"/>
        </w:rPr>
        <w:t>帮我们的杯子里都打满了水”</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“我们都很感激你呢，我们爱你！”</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“老师，我知道怎么做了”</w:t>
      </w:r>
    </w:p>
    <w:p>
      <w:p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rPr>
        <w:t>内容与课程无关，但拉近了我们的距离，学习开展下去又有何难！</w:t>
      </w: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rPr>
      </w:pPr>
      <w:bookmarkStart w:id="20" w:name="_Toc13482"/>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专业建设</w:t>
      </w:r>
      <w:bookmarkEnd w:id="20"/>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.1课程建设</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校十分重视学生文化素养、职业素养、身体素质、文明礼仪和心理健康的培养。按照国家中职人才培养方案调整的统一要求，学校保证开齐开足“语文”“数学”“英语”“思政”“体育”“信息技术”“历史”和“公共艺术”等公共基础课，同时还开设了“传统文化”“劳动教育”等若干拓展选修课。</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校牢牢把握“重实践、强基础、校企化、模块化、双证型”的人才培养目标，探索实践多种形式的校企合作育人新模式，从优化人才培养方案入手，发挥专业建设指导委员会作用，采取“四环联动”（深入企业调研、规划设计、专家论证、研讨修订）运作方式，完善了人才培养方案和课程体系建设。</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以职业能力为主线，深入开展教学模式改革，农业生产技术专业群探索实践“岗位引领，项目植入，技能接轨” 教学模式；信息技术专业群形成“项目教学，任务驱动” 教学模式；旅游服务与管理专业有针对性地开展“教、学、做理实一体化”教学模式，有效提升了人才培养质量。学校引进行业企业评价机制，建立了多元化评价体系，取得显著成效。2022年</w:t>
      </w:r>
      <w:r>
        <w:rPr>
          <w:rFonts w:hint="eastAsia" w:ascii="仿宋_GB2312" w:hAnsi="仿宋_GB2312" w:eastAsia="仿宋_GB2312" w:cs="仿宋_GB2312"/>
          <w:color w:val="auto"/>
          <w:sz w:val="32"/>
          <w:szCs w:val="32"/>
          <w:lang w:val="en-US" w:eastAsia="zh-CN"/>
        </w:rPr>
        <w:t>11月，学校</w:t>
      </w:r>
      <w:r>
        <w:rPr>
          <w:rFonts w:hint="eastAsia" w:ascii="仿宋_GB2312" w:hAnsi="仿宋_GB2312" w:eastAsia="仿宋_GB2312" w:cs="仿宋_GB2312"/>
          <w:color w:val="auto"/>
          <w:sz w:val="32"/>
          <w:szCs w:val="32"/>
        </w:rPr>
        <w:t>两项教学成果获市级奖励，其中杨宁主持的教学成果《中职学校个性化人才培养模式的探索与实践》获市级一等奖、裴铁飞主持的教学成果《以校园文化建设为引领，有效破解中职生管理难题》获市级二等奖。</w:t>
      </w:r>
    </w:p>
    <w:p>
      <w:pPr>
        <w:pStyle w:val="3"/>
        <w:bidi w:val="0"/>
        <w:ind w:firstLine="643" w:firstLineChars="200"/>
        <w:rPr>
          <w:rFonts w:hint="eastAsia"/>
        </w:rPr>
      </w:pPr>
      <w:bookmarkStart w:id="21" w:name="_Toc11119"/>
      <w:r>
        <w:rPr>
          <w:rFonts w:hint="eastAsia"/>
        </w:rPr>
        <w:t>案例1</w:t>
      </w:r>
      <w:r>
        <w:rPr>
          <w:rFonts w:hint="eastAsia"/>
          <w:lang w:val="en-US" w:eastAsia="zh-CN"/>
        </w:rPr>
        <w:t>-3</w:t>
      </w:r>
      <w:r>
        <w:rPr>
          <w:rFonts w:hint="eastAsia"/>
        </w:rPr>
        <w:t>：学校实施个性化人才培养模式成绩显著</w:t>
      </w:r>
      <w:bookmarkEnd w:id="21"/>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bCs/>
          <w:color w:val="auto"/>
          <w:kern w:val="0"/>
          <w:sz w:val="32"/>
          <w:szCs w:val="32"/>
        </w:rPr>
      </w:pPr>
      <w:r>
        <w:rPr>
          <w:rFonts w:hint="eastAsia" w:ascii="仿宋_GB2312" w:hAnsi="仿宋_GB2312" w:eastAsia="仿宋_GB2312" w:cs="仿宋_GB2312"/>
          <w:bCs/>
          <w:color w:val="auto"/>
          <w:kern w:val="0"/>
          <w:sz w:val="32"/>
          <w:szCs w:val="32"/>
        </w:rPr>
        <w:t>学校根据国家人才需求和学生发展需要，在专业人才培养过程中探索构建了个性化人才培养模式，从专业教学、技能培养、学生成长、未来规划四个维度，针对每个学生不同特点，实施个性化人才培养，实现因材施教、因趣施教、因需施教，促进学生的个性化发展，促进学校人才培养质量的提高。</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Cs/>
          <w:color w:val="auto"/>
          <w:kern w:val="0"/>
          <w:sz w:val="32"/>
          <w:szCs w:val="32"/>
        </w:rPr>
        <w:t>2022-2023年度，学校有15名同学在天津市技能大赛获奖；8名同学在天津市“海河工匠杯”职业技能大赛中获奖；21名同学在“丝路杯”京津冀直播电商比赛中获奖；张学博同学因在技能大赛中的优异表现被免试保送升入天津交通职业学院；孟庆钦、刘治彤、绳王霖、李嘉怡、朱鑫然同学获得2022-2023学年中等职业教育国家奖学金。</w:t>
      </w:r>
    </w:p>
    <w:p>
      <w:pPr>
        <w:pageBreakBefore w:val="0"/>
        <w:tabs>
          <w:tab w:val="left" w:pos="958"/>
          <w:tab w:val="left" w:pos="1078"/>
        </w:tabs>
        <w:kinsoku/>
        <w:wordWrap/>
        <w:overflowPunct/>
        <w:topLinePunct w:val="0"/>
        <w:autoSpaceDE/>
        <w:autoSpaceDN/>
        <w:bidi w:val="0"/>
        <w:adjustRightInd/>
        <w:spacing w:line="240" w:lineRule="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drawing>
          <wp:inline distT="0" distB="0" distL="0" distR="0">
            <wp:extent cx="1805305" cy="2503170"/>
            <wp:effectExtent l="0" t="0" r="11430" b="4445"/>
            <wp:docPr id="39" name="图片 39" descr="E:\教务工作\2022-2023(2)\技能大赛\成绩\获奖证书扫描件\20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教务工作\2022-2023(2)\技能大赛\成绩\获奖证书扫描件\2023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16200000">
                      <a:off x="0" y="0"/>
                      <a:ext cx="1805692" cy="2503270"/>
                    </a:xfrm>
                    <a:prstGeom prst="rect">
                      <a:avLst/>
                    </a:prstGeom>
                    <a:noFill/>
                    <a:ln>
                      <a:noFill/>
                    </a:ln>
                  </pic:spPr>
                </pic:pic>
              </a:graphicData>
            </a:graphic>
          </wp:inline>
        </w:drawing>
      </w:r>
      <w:r>
        <w:rPr>
          <w:rFonts w:hint="eastAsia" w:ascii="仿宋_GB2312" w:hAnsi="仿宋_GB2312" w:eastAsia="仿宋_GB2312" w:cs="仿宋_GB2312"/>
          <w:color w:val="auto"/>
          <w:sz w:val="32"/>
          <w:szCs w:val="32"/>
        </w:rPr>
        <w:drawing>
          <wp:inline distT="0" distB="0" distL="0" distR="0">
            <wp:extent cx="1781175" cy="2469515"/>
            <wp:effectExtent l="0" t="0" r="6985" b="9525"/>
            <wp:docPr id="40" name="图片 40" descr="E:\教务工作\2022-2023(2)\技能大赛\成绩\获奖证书扫描件\20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教务工作\2022-2023(2)\技能大赛\成绩\获奖证书扫描件\2023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rot="16200000">
                      <a:off x="0" y="0"/>
                      <a:ext cx="1782876" cy="2471641"/>
                    </a:xfrm>
                    <a:prstGeom prst="rect">
                      <a:avLst/>
                    </a:prstGeom>
                    <a:noFill/>
                    <a:ln>
                      <a:noFill/>
                    </a:ln>
                  </pic:spPr>
                </pic:pic>
              </a:graphicData>
            </a:graphic>
          </wp:inline>
        </w:drawing>
      </w:r>
      <w:r>
        <w:rPr>
          <w:rFonts w:hint="eastAsia" w:ascii="仿宋_GB2312" w:hAnsi="仿宋_GB2312" w:eastAsia="仿宋_GB2312" w:cs="仿宋_GB2312"/>
          <w:color w:val="auto"/>
          <w:sz w:val="32"/>
          <w:szCs w:val="32"/>
        </w:rPr>
        <w:drawing>
          <wp:inline distT="0" distB="0" distL="0" distR="0">
            <wp:extent cx="2514600" cy="1809115"/>
            <wp:effectExtent l="0" t="0" r="0" b="635"/>
            <wp:docPr id="6" name="图片 6" descr="G:\照片\2023\2022技能大赛\机电汽修市赛照片\农机维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照片\2023\2022技能大赛\机电汽修市赛照片\农机维修.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18068" cy="1812187"/>
                    </a:xfrm>
                    <a:prstGeom prst="rect">
                      <a:avLst/>
                    </a:prstGeom>
                    <a:noFill/>
                    <a:ln>
                      <a:noFill/>
                    </a:ln>
                  </pic:spPr>
                </pic:pic>
              </a:graphicData>
            </a:graphic>
          </wp:inline>
        </w:drawing>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drawing>
          <wp:inline distT="0" distB="0" distL="0" distR="0">
            <wp:extent cx="2466975" cy="1826260"/>
            <wp:effectExtent l="0" t="0" r="9525" b="2540"/>
            <wp:docPr id="41" name="图片 41" descr="G:\照片\2023\2022技能大赛\电子商务\c7422b7067d58466e6e9b837f980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G:\照片\2023\2022技能大赛\电子商务\c7422b7067d58466e6e9b837f98003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72046" cy="1830014"/>
                    </a:xfrm>
                    <a:prstGeom prst="rect">
                      <a:avLst/>
                    </a:prstGeom>
                    <a:noFill/>
                    <a:ln>
                      <a:noFill/>
                    </a:ln>
                  </pic:spPr>
                </pic:pic>
              </a:graphicData>
            </a:graphic>
          </wp:inline>
        </w:drawing>
      </w:r>
    </w:p>
    <w:p>
      <w:pPr>
        <w:pStyle w:val="6"/>
        <w:bidi w:val="0"/>
        <w:ind w:firstLine="1470" w:firstLineChars="700"/>
        <w:rPr>
          <w:rFonts w:hint="eastAsia" w:ascii="仿宋_GB2312" w:hAnsi="仿宋_GB2312" w:eastAsia="仿宋_GB2312" w:cs="仿宋_GB2312"/>
          <w:color w:val="auto"/>
          <w:szCs w:val="24"/>
        </w:rPr>
      </w:pPr>
      <w:r>
        <w:rPr>
          <w:rFonts w:hint="eastAsia"/>
          <w:lang w:val="en-US" w:eastAsia="zh-CN"/>
        </w:rPr>
        <w:t>图1-16：</w:t>
      </w:r>
      <w:r>
        <w:rPr>
          <w:rFonts w:hint="eastAsia"/>
        </w:rPr>
        <w:t>2022年天津市技能大赛获奖证书、照片</w:t>
      </w: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.2三教改革</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从学生的以知规律出发，以信息技术为载体，运用项目教学、问题探究、案例教学、网络互动等学生易于接受的教学形式，不断深化教学方法改革。培养学生解决问题能力，开发学生思维能力，提高学生判断能力、决策能力和综合素质。</w:t>
      </w:r>
    </w:p>
    <w:p>
      <w:pPr>
        <w:pageBreakBefore w:val="0"/>
        <w:kinsoku/>
        <w:wordWrap/>
        <w:overflowPunct/>
        <w:topLinePunct w:val="0"/>
        <w:autoSpaceDE/>
        <w:autoSpaceDN/>
        <w:bidi w:val="0"/>
        <w:adjustRightInd/>
        <w:spacing w:line="240" w:lineRule="auto"/>
        <w:ind w:firstLine="6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专业课程教学中，我们广泛采用情境学习、任务驱动教学法，充分利用多种现代化教学手段，激发学生学校兴趣，已收到良好的教学效果。技能实训中，我们总结出的“确定任务→制定计划→组织实施→质量控制→展示结果→评估反馈”六步教学法在各专业被广泛应用，规范和提升了技能实训效果。</w:t>
      </w:r>
    </w:p>
    <w:p>
      <w:pPr>
        <w:pStyle w:val="3"/>
        <w:bidi w:val="0"/>
        <w:rPr>
          <w:rFonts w:hint="eastAsia"/>
          <w:lang w:val="en-US" w:eastAsia="zh-CN"/>
        </w:rPr>
      </w:pPr>
      <w:bookmarkStart w:id="22" w:name="_Toc13332"/>
      <w:r>
        <w:rPr>
          <w:rFonts w:hint="eastAsia"/>
          <w:lang w:val="en-US" w:eastAsia="zh-CN"/>
        </w:rPr>
        <w:t>案例1-4：实施个性化教学模式，促进人才培养质量全面提高</w:t>
      </w:r>
      <w:bookmarkEnd w:id="22"/>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天津市在人才培养过程中，针对社会对人才的需求多元化、个性化的时代要求，主动创新人才培养模式，实施个性化人才培养。从知识传授、技能训练、素质提升和生涯规划四个维度着手，找到人才培养与社会需求的恰当衔接点。在人才培养过程中突出学生个性化发展，注重因材施教，主动适应学生需求和社会发展，从根本上改变了教学有量无效，学生有绩无能，的被动局面。个性化人才培养模式经过广泛的推广应用，收到了很好的时间效果，受到了学生、家长和用人单位的广泛欢迎，对学校人才培养质量的提高起到了极大地促进作用。2022年学校《中职学校个性化人才培养模式的探索与实践》获天津市教学成果评选一等奖。</w:t>
      </w:r>
    </w:p>
    <w:p>
      <w:pPr>
        <w:pageBreakBefore w:val="0"/>
        <w:kinsoku/>
        <w:wordWrap/>
        <w:overflowPunct/>
        <w:topLinePunct w:val="0"/>
        <w:autoSpaceDE/>
        <w:autoSpaceDN/>
        <w:bidi w:val="0"/>
        <w:adjustRightInd/>
        <w:spacing w:line="240" w:lineRule="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2638425" cy="1818640"/>
            <wp:effectExtent l="0" t="0" r="9525" b="10160"/>
            <wp:docPr id="42" name="图片 42" descr="DSC_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SC_6930"/>
                    <pic:cNvPicPr>
                      <a:picLocks noChangeAspect="1"/>
                    </pic:cNvPicPr>
                  </pic:nvPicPr>
                  <pic:blipFill>
                    <a:blip r:embed="rId34"/>
                    <a:stretch>
                      <a:fillRect/>
                    </a:stretch>
                  </pic:blipFill>
                  <pic:spPr>
                    <a:xfrm>
                      <a:off x="0" y="0"/>
                      <a:ext cx="2638425" cy="1818640"/>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drawing>
          <wp:inline distT="0" distB="0" distL="114300" distR="114300">
            <wp:extent cx="2512060" cy="1817370"/>
            <wp:effectExtent l="0" t="0" r="2540" b="11430"/>
            <wp:docPr id="43" name="图片 43" descr="DSC_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SC_6939"/>
                    <pic:cNvPicPr>
                      <a:picLocks noChangeAspect="1"/>
                    </pic:cNvPicPr>
                  </pic:nvPicPr>
                  <pic:blipFill>
                    <a:blip r:embed="rId35"/>
                    <a:stretch>
                      <a:fillRect/>
                    </a:stretch>
                  </pic:blipFill>
                  <pic:spPr>
                    <a:xfrm>
                      <a:off x="0" y="0"/>
                      <a:ext cx="2512060" cy="1817370"/>
                    </a:xfrm>
                    <a:prstGeom prst="rect">
                      <a:avLst/>
                    </a:prstGeom>
                  </pic:spPr>
                </pic:pic>
              </a:graphicData>
            </a:graphic>
          </wp:inline>
        </w:drawing>
      </w:r>
    </w:p>
    <w:p>
      <w:pPr>
        <w:pageBreakBefore w:val="0"/>
        <w:kinsoku/>
        <w:wordWrap/>
        <w:overflowPunct/>
        <w:topLinePunct w:val="0"/>
        <w:autoSpaceDE/>
        <w:autoSpaceDN/>
        <w:bidi w:val="0"/>
        <w:adjustRightInd/>
        <w:spacing w:line="240" w:lineRule="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32"/>
          <w:szCs w:val="32"/>
          <w:lang w:val="en-US" w:eastAsia="zh-CN"/>
        </w:rPr>
        <w:t xml:space="preserve">              </w:t>
      </w:r>
      <w:r>
        <w:rPr>
          <w:rStyle w:val="27"/>
          <w:rFonts w:hint="eastAsia"/>
          <w:lang w:val="en-US" w:eastAsia="zh-CN"/>
        </w:rPr>
        <w:t xml:space="preserve"> 图1-17：合作企业为学校送来锦旗</w:t>
      </w:r>
    </w:p>
    <w:p>
      <w:pPr>
        <w:pageBreakBefore w:val="0"/>
        <w:tabs>
          <w:tab w:val="left" w:pos="958"/>
          <w:tab w:val="left" w:pos="1078"/>
        </w:tabs>
        <w:kinsoku/>
        <w:wordWrap/>
        <w:overflowPunct/>
        <w:topLinePunct w:val="0"/>
        <w:autoSpaceDE/>
        <w:autoSpaceDN/>
        <w:bidi w:val="0"/>
        <w:adjustRightInd/>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0" distR="0">
            <wp:extent cx="5274310" cy="5212715"/>
            <wp:effectExtent l="0" t="0" r="2540" b="698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274310" cy="5212715"/>
                    </a:xfrm>
                    <a:prstGeom prst="rect">
                      <a:avLst/>
                    </a:prstGeom>
                  </pic:spPr>
                </pic:pic>
              </a:graphicData>
            </a:graphic>
          </wp:inline>
        </w:drawing>
      </w:r>
    </w:p>
    <w:p>
      <w:pPr>
        <w:pStyle w:val="6"/>
        <w:bidi w:val="0"/>
        <w:ind w:firstLine="2310" w:firstLineChars="1100"/>
        <w:rPr>
          <w:rFonts w:hint="eastAsia"/>
          <w:lang w:val="en-US" w:eastAsia="zh-CN"/>
        </w:rPr>
      </w:pPr>
      <w:r>
        <w:rPr>
          <w:rFonts w:hint="eastAsia"/>
          <w:lang w:val="en-US" w:eastAsia="zh-CN"/>
        </w:rPr>
        <w:t>图1-18：</w:t>
      </w:r>
      <w:r>
        <w:rPr>
          <w:rFonts w:hint="eastAsia"/>
        </w:rPr>
        <w:t>高校给学校、老师发来的喜报</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深入贯彻落实中央领导同志关于教材工作的重要指示批示精神，认真落实市委、市政府主要领导同志对教材工作的批示要求，认真学习习近平总书记对教材建设的一系列重要讲话和重要指示批示精神；确保在教材建设与管理过程中严格落实教育部印发的《全国大中小学教材建设规划（2019—2022年）》《职业院校教材管理办法》和《天津市职业院校教材管理实施细则》文件精神，推进习近平新时代中国特色社会主义思想进课程教材，做好教材建设与管理工作。本年度，学校进一步压实教材建设管理工作主体责任，</w:t>
      </w:r>
      <w:r>
        <w:rPr>
          <w:rFonts w:hint="eastAsia" w:ascii="仿宋_GB2312" w:hAnsi="仿宋_GB2312" w:eastAsia="仿宋_GB2312" w:cs="仿宋_GB2312"/>
          <w:color w:val="auto"/>
          <w:sz w:val="32"/>
          <w:szCs w:val="32"/>
          <w:lang w:val="en-US" w:eastAsia="zh-CN"/>
        </w:rPr>
        <w:t>积极推进二十大精神进教材、进课堂，</w:t>
      </w:r>
      <w:r>
        <w:rPr>
          <w:rFonts w:hint="eastAsia" w:ascii="仿宋_GB2312" w:hAnsi="仿宋_GB2312" w:eastAsia="仿宋_GB2312" w:cs="仿宋_GB2312"/>
          <w:color w:val="auto"/>
          <w:sz w:val="32"/>
          <w:szCs w:val="32"/>
        </w:rPr>
        <w:t>严格落实“凡编必审”“凡选必审”，不断规范教材选用、征订、使用、反馈等各个环节的管理；优化了教材使用评价反馈机制，保证每本使用的教材都有及时反馈，发现问题，及时处理。</w:t>
      </w:r>
    </w:p>
    <w:p>
      <w:pPr>
        <w:pStyle w:val="3"/>
        <w:bidi w:val="0"/>
        <w:ind w:firstLine="964" w:firstLineChars="300"/>
        <w:rPr>
          <w:rFonts w:hint="eastAsia"/>
        </w:rPr>
      </w:pPr>
      <w:bookmarkStart w:id="23" w:name="_Toc28409"/>
      <w:r>
        <w:rPr>
          <w:rFonts w:hint="eastAsia"/>
        </w:rPr>
        <w:t>案例</w:t>
      </w:r>
      <w:r>
        <w:rPr>
          <w:rFonts w:hint="eastAsia"/>
          <w:lang w:val="en-US" w:eastAsia="zh-CN"/>
        </w:rPr>
        <w:t>1-5</w:t>
      </w:r>
      <w:r>
        <w:rPr>
          <w:rFonts w:hint="eastAsia"/>
        </w:rPr>
        <w:t>：以科研为引领促进</w:t>
      </w:r>
      <w:r>
        <w:rPr>
          <w:rFonts w:hint="eastAsia"/>
          <w:lang w:val="en-US" w:eastAsia="zh-CN"/>
        </w:rPr>
        <w:t>教育教学</w:t>
      </w:r>
      <w:r>
        <w:rPr>
          <w:rFonts w:hint="eastAsia"/>
        </w:rPr>
        <w:t>改革</w:t>
      </w:r>
      <w:bookmarkEnd w:id="23"/>
    </w:p>
    <w:p>
      <w:pPr>
        <w:pageBreakBefore w:val="0"/>
        <w:kinsoku/>
        <w:wordWrap/>
        <w:overflowPunct/>
        <w:topLinePunct w:val="0"/>
        <w:autoSpaceDE/>
        <w:autoSpaceDN/>
        <w:bidi w:val="0"/>
        <w:adjustRightInd/>
        <w:spacing w:line="240" w:lineRule="auto"/>
        <w:ind w:firstLine="600"/>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学校</w:t>
      </w:r>
      <w:r>
        <w:rPr>
          <w:rFonts w:hint="eastAsia" w:ascii="仿宋_GB2312" w:hAnsi="仿宋_GB2312" w:eastAsia="仿宋_GB2312" w:cs="仿宋_GB2312"/>
          <w:bCs/>
          <w:color w:val="auto"/>
          <w:kern w:val="0"/>
          <w:sz w:val="32"/>
          <w:szCs w:val="32"/>
        </w:rPr>
        <w:t>在习近平总书记关于教育的重要论述指引下，</w:t>
      </w:r>
      <w:r>
        <w:rPr>
          <w:rFonts w:hint="eastAsia" w:ascii="仿宋_GB2312" w:hAnsi="仿宋_GB2312" w:eastAsia="仿宋_GB2312" w:cs="仿宋_GB2312"/>
          <w:bCs/>
          <w:color w:val="auto"/>
          <w:kern w:val="0"/>
          <w:sz w:val="32"/>
          <w:szCs w:val="32"/>
          <w:lang w:val="en-US" w:eastAsia="zh-CN"/>
        </w:rPr>
        <w:t>认真落实</w:t>
      </w:r>
      <w:r>
        <w:rPr>
          <w:rFonts w:hint="eastAsia" w:ascii="仿宋_GB2312" w:hAnsi="仿宋_GB2312" w:eastAsia="仿宋_GB2312" w:cs="仿宋_GB2312"/>
          <w:bCs/>
          <w:color w:val="auto"/>
          <w:kern w:val="0"/>
          <w:sz w:val="32"/>
          <w:szCs w:val="32"/>
        </w:rPr>
        <w:t>《教育部关于加强新时代教育科学研究工作的意见》</w:t>
      </w:r>
      <w:r>
        <w:rPr>
          <w:rFonts w:hint="eastAsia" w:ascii="仿宋_GB2312" w:hAnsi="仿宋_GB2312" w:eastAsia="仿宋_GB2312" w:cs="仿宋_GB2312"/>
          <w:bCs/>
          <w:color w:val="auto"/>
          <w:kern w:val="0"/>
          <w:sz w:val="32"/>
          <w:szCs w:val="32"/>
          <w:lang w:eastAsia="zh-CN"/>
        </w:rPr>
        <w:t>，</w:t>
      </w:r>
      <w:r>
        <w:rPr>
          <w:rFonts w:hint="eastAsia" w:ascii="仿宋_GB2312" w:hAnsi="仿宋_GB2312" w:eastAsia="仿宋_GB2312" w:cs="仿宋_GB2312"/>
          <w:bCs/>
          <w:color w:val="auto"/>
          <w:kern w:val="0"/>
          <w:sz w:val="32"/>
          <w:szCs w:val="32"/>
          <w:lang w:val="en-US" w:eastAsia="zh-CN"/>
        </w:rPr>
        <w:t>充分发挥</w:t>
      </w:r>
      <w:r>
        <w:rPr>
          <w:rFonts w:hint="eastAsia" w:ascii="仿宋_GB2312" w:hAnsi="仿宋_GB2312" w:eastAsia="仿宋_GB2312" w:cs="仿宋_GB2312"/>
          <w:bCs/>
          <w:color w:val="auto"/>
          <w:kern w:val="0"/>
          <w:sz w:val="32"/>
          <w:szCs w:val="32"/>
        </w:rPr>
        <w:t>新时代教育科研工作对教育</w:t>
      </w:r>
      <w:r>
        <w:rPr>
          <w:rFonts w:hint="eastAsia" w:ascii="仿宋_GB2312" w:hAnsi="仿宋_GB2312" w:eastAsia="仿宋_GB2312" w:cs="仿宋_GB2312"/>
          <w:bCs/>
          <w:color w:val="auto"/>
          <w:kern w:val="0"/>
          <w:sz w:val="32"/>
          <w:szCs w:val="32"/>
          <w:lang w:val="en-US" w:eastAsia="zh-CN"/>
        </w:rPr>
        <w:t>教学</w:t>
      </w:r>
      <w:r>
        <w:rPr>
          <w:rFonts w:hint="eastAsia" w:ascii="仿宋_GB2312" w:hAnsi="仿宋_GB2312" w:eastAsia="仿宋_GB2312" w:cs="仿宋_GB2312"/>
          <w:bCs/>
          <w:color w:val="auto"/>
          <w:kern w:val="0"/>
          <w:sz w:val="32"/>
          <w:szCs w:val="32"/>
        </w:rPr>
        <w:t>改革发展的支撑、驱动和引领作用</w:t>
      </w:r>
      <w:r>
        <w:rPr>
          <w:rFonts w:hint="eastAsia" w:ascii="仿宋_GB2312" w:hAnsi="仿宋_GB2312" w:eastAsia="仿宋_GB2312" w:cs="仿宋_GB2312"/>
          <w:bCs/>
          <w:color w:val="auto"/>
          <w:kern w:val="0"/>
          <w:sz w:val="32"/>
          <w:szCs w:val="32"/>
          <w:lang w:eastAsia="zh-CN"/>
        </w:rPr>
        <w:t>，</w:t>
      </w:r>
      <w:r>
        <w:rPr>
          <w:rFonts w:hint="eastAsia" w:ascii="仿宋_GB2312" w:hAnsi="仿宋_GB2312" w:eastAsia="仿宋_GB2312" w:cs="仿宋_GB2312"/>
          <w:bCs/>
          <w:color w:val="auto"/>
          <w:kern w:val="0"/>
          <w:sz w:val="32"/>
          <w:szCs w:val="32"/>
          <w:lang w:val="en-US" w:eastAsia="zh-CN"/>
        </w:rPr>
        <w:t>鼓励教育科研，不断推进教学模式改革。</w:t>
      </w:r>
    </w:p>
    <w:p>
      <w:pPr>
        <w:pageBreakBefore w:val="0"/>
        <w:kinsoku/>
        <w:wordWrap/>
        <w:overflowPunct/>
        <w:topLinePunct w:val="0"/>
        <w:autoSpaceDE/>
        <w:autoSpaceDN/>
        <w:bidi w:val="0"/>
        <w:adjustRightInd/>
        <w:spacing w:line="240" w:lineRule="auto"/>
        <w:ind w:firstLine="600"/>
        <w:rPr>
          <w:rFonts w:hint="eastAsia" w:ascii="仿宋_GB2312" w:hAnsi="仿宋_GB2312" w:eastAsia="仿宋_GB2312" w:cs="仿宋_GB2312"/>
          <w:bCs/>
          <w:color w:val="auto"/>
          <w:kern w:val="0"/>
          <w:sz w:val="32"/>
          <w:szCs w:val="32"/>
          <w:lang w:val="en-US" w:eastAsia="zh-CN"/>
        </w:rPr>
      </w:pPr>
      <w:r>
        <w:rPr>
          <w:rFonts w:hint="eastAsia" w:ascii="仿宋_GB2312" w:hAnsi="仿宋_GB2312" w:eastAsia="仿宋_GB2312" w:cs="仿宋_GB2312"/>
          <w:bCs/>
          <w:color w:val="auto"/>
          <w:kern w:val="0"/>
          <w:sz w:val="32"/>
          <w:szCs w:val="32"/>
          <w:lang w:val="en-US" w:eastAsia="zh-CN"/>
        </w:rPr>
        <w:t>2022-2023年度，我校结题市级课题2项，在研市级科研课题10项，新申报市级课题2项。其中课题《职业教育线上线下混合式教学模式的研究》在学生线上学习期间，对于师生教学模式的变革和教学方法的指导发挥了重要作用。</w:t>
      </w:r>
    </w:p>
    <w:p>
      <w:pPr>
        <w:pStyle w:val="3"/>
        <w:bidi w:val="0"/>
        <w:ind w:firstLine="1606" w:firstLineChars="500"/>
        <w:rPr>
          <w:rFonts w:hint="eastAsia"/>
          <w:lang w:val="en-US" w:eastAsia="zh-CN"/>
        </w:rPr>
      </w:pPr>
      <w:bookmarkStart w:id="24" w:name="_Toc11448"/>
      <w:r>
        <w:rPr>
          <w:rFonts w:hint="eastAsia"/>
          <w:lang w:val="en-US" w:eastAsia="zh-CN"/>
        </w:rPr>
        <w:t>表1-1：2022-2023年度科研课题统计表</w:t>
      </w:r>
      <w:bookmarkEnd w:id="24"/>
    </w:p>
    <w:tbl>
      <w:tblPr>
        <w:tblStyle w:val="14"/>
        <w:tblW w:w="8415" w:type="dxa"/>
        <w:tblInd w:w="-5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50"/>
        <w:gridCol w:w="4459"/>
        <w:gridCol w:w="780"/>
        <w:gridCol w:w="24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6" w:hRule="atLeast"/>
        </w:trPr>
        <w:tc>
          <w:tcPr>
            <w:tcW w:w="750" w:type="dxa"/>
            <w:noWrap w:val="0"/>
            <w:vAlign w:val="center"/>
          </w:tcPr>
          <w:p>
            <w:pPr>
              <w:pageBreakBefore w:val="0"/>
              <w:kinsoku/>
              <w:wordWrap/>
              <w:overflowPunct/>
              <w:topLinePunct w:val="0"/>
              <w:autoSpaceDE/>
              <w:autoSpaceDN/>
              <w:bidi w:val="0"/>
              <w:adjustRightInd/>
              <w:snapToGrid w:val="0"/>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序号</w:t>
            </w:r>
          </w:p>
        </w:tc>
        <w:tc>
          <w:tcPr>
            <w:tcW w:w="4459" w:type="dxa"/>
            <w:noWrap w:val="0"/>
            <w:vAlign w:val="center"/>
          </w:tcPr>
          <w:p>
            <w:pPr>
              <w:pageBreakBefore w:val="0"/>
              <w:kinsoku/>
              <w:wordWrap/>
              <w:overflowPunct/>
              <w:topLinePunct w:val="0"/>
              <w:autoSpaceDE/>
              <w:autoSpaceDN/>
              <w:bidi w:val="0"/>
              <w:adjustRightInd/>
              <w:snapToGrid w:val="0"/>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课题名称</w:t>
            </w:r>
          </w:p>
        </w:tc>
        <w:tc>
          <w:tcPr>
            <w:tcW w:w="780" w:type="dxa"/>
            <w:noWrap w:val="0"/>
            <w:vAlign w:val="center"/>
          </w:tcPr>
          <w:p>
            <w:pPr>
              <w:pageBreakBefore w:val="0"/>
              <w:kinsoku/>
              <w:wordWrap/>
              <w:overflowPunct/>
              <w:topLinePunct w:val="0"/>
              <w:autoSpaceDE/>
              <w:autoSpaceDN/>
              <w:bidi w:val="0"/>
              <w:adjustRightInd/>
              <w:snapToGrid w:val="0"/>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级别</w:t>
            </w:r>
          </w:p>
        </w:tc>
        <w:tc>
          <w:tcPr>
            <w:tcW w:w="2426" w:type="dxa"/>
            <w:noWrap w:val="0"/>
            <w:vAlign w:val="center"/>
          </w:tcPr>
          <w:p>
            <w:pPr>
              <w:pageBreakBefore w:val="0"/>
              <w:kinsoku/>
              <w:wordWrap/>
              <w:overflowPunct/>
              <w:topLinePunct w:val="0"/>
              <w:autoSpaceDE/>
              <w:autoSpaceDN/>
              <w:bidi w:val="0"/>
              <w:adjustRightInd/>
              <w:snapToGrid w:val="0"/>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批准单位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6"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为实现碳达峰、碳中和中等职业学校学生培养初探</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天津市职业教育与成人教育学会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9"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地方红色文化资源融入中职学校课程思政实践研究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天津市职业教育与成人教育学会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6"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构建线上线下教育教学常态化融合发展机制的研究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4</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实施中华优秀传统文化教育的途径与方法的研究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5</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发展中职学生信息素养和职业素养的实践研究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6</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学校中华优秀传统文化教育实践研究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7</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《职业教育支撑乡村振兴与脱贫的研究》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天津市教育科学学会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《中小学生手机成瘾的调查及策略研究》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天津市教育科学学会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《职业教育线上线下混合式教学模式的研究》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天津市教育科学学会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10</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《网络学习空间在中职教育教学中的实践研究》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天津市教育科学学会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11</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《中职学校线上线下混合式教学模式的研究》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天津市教育科学学会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《职业学校校本课程建设实践研究》</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天津市教育科学学会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13</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《信息化2.0时代信息技术与教育教学创新融合的研究与实践》</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区级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蓟州区教学学会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50" w:type="dxa"/>
            <w:noWrap w:val="0"/>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14</w:t>
            </w:r>
          </w:p>
        </w:tc>
        <w:tc>
          <w:tcPr>
            <w:tcW w:w="4459"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《探究中职学生职业能力的塑造路径》</w:t>
            </w:r>
          </w:p>
        </w:tc>
        <w:tc>
          <w:tcPr>
            <w:tcW w:w="780"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区级</w:t>
            </w:r>
          </w:p>
        </w:tc>
        <w:tc>
          <w:tcPr>
            <w:tcW w:w="2426" w:type="dxa"/>
            <w:noWrap w:val="0"/>
            <w:vAlign w:val="center"/>
          </w:tcPr>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蓟州区教学学会</w:t>
            </w:r>
          </w:p>
        </w:tc>
      </w:tr>
    </w:tbl>
    <w:p>
      <w:pPr>
        <w:pageBreakBefore w:val="0"/>
        <w:tabs>
          <w:tab w:val="left" w:pos="958"/>
          <w:tab w:val="left" w:pos="1078"/>
        </w:tabs>
        <w:kinsoku/>
        <w:wordWrap/>
        <w:overflowPunct/>
        <w:topLinePunct w:val="0"/>
        <w:autoSpaceDE/>
        <w:autoSpaceDN/>
        <w:bidi w:val="0"/>
        <w:adjustRightInd/>
        <w:spacing w:line="240" w:lineRule="auto"/>
        <w:outlineLvl w:val="9"/>
        <w:rPr>
          <w:rFonts w:hint="eastAsia" w:ascii="仿宋_GB2312" w:hAnsi="仿宋_GB2312" w:eastAsia="仿宋_GB2312" w:cs="仿宋_GB2312"/>
          <w:color w:val="auto"/>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.3数字化教学资源建设</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现代化的教学要靠现代化教学手段和充足的数字化教学资源作为保障，为此，学校下大力度加强数字化教学资源建设。</w:t>
      </w:r>
      <w:r>
        <w:rPr>
          <w:rFonts w:hint="eastAsia" w:ascii="仿宋_GB2312" w:hAnsi="仿宋_GB2312" w:eastAsia="仿宋_GB2312" w:cs="仿宋_GB2312"/>
          <w:color w:val="auto"/>
          <w:sz w:val="32"/>
          <w:szCs w:val="32"/>
          <w:lang w:val="en-US" w:eastAsia="zh-CN"/>
        </w:rPr>
        <w:t>本年度学校以旅游服务与管理（民宿方向）优质专业建设为抓手，不断完善学校教学资源建设，投资34万元，开发旅游服务与管理专业（民宿方向）教学资源，实现专业建设的快速提升。</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通过专业教学资源库建设进一步推动我校内涵建设，促进专业建设与教学改革成果应用，实现优质教学资源共享，线上线下教学同步进行。以优质的教学资源促进学生学习方式的变革，实现教学管理现代化、教学资源数字化，全面提高人才培养质量，提升社会服务能力。</w:t>
      </w:r>
    </w:p>
    <w:p>
      <w:pPr>
        <w:pageBreakBefore w:val="0"/>
        <w:tabs>
          <w:tab w:val="left" w:pos="958"/>
          <w:tab w:val="left" w:pos="1078"/>
        </w:tabs>
        <w:kinsoku/>
        <w:wordWrap/>
        <w:overflowPunct/>
        <w:topLinePunct w:val="0"/>
        <w:autoSpaceDE/>
        <w:autoSpaceDN/>
        <w:bidi w:val="0"/>
        <w:adjustRightInd/>
        <w:spacing w:line="240" w:lineRule="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5273040" cy="2339975"/>
            <wp:effectExtent l="0" t="0" r="3810" b="3175"/>
            <wp:docPr id="44" name="图片 44" descr="4f09e4d877588b4b2a091103a587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f09e4d877588b4b2a091103a587bf0"/>
                    <pic:cNvPicPr>
                      <a:picLocks noChangeAspect="1"/>
                    </pic:cNvPicPr>
                  </pic:nvPicPr>
                  <pic:blipFill>
                    <a:blip r:embed="rId37"/>
                    <a:stretch>
                      <a:fillRect/>
                    </a:stretch>
                  </pic:blipFill>
                  <pic:spPr>
                    <a:xfrm>
                      <a:off x="0" y="0"/>
                      <a:ext cx="5273040" cy="2339975"/>
                    </a:xfrm>
                    <a:prstGeom prst="rect">
                      <a:avLst/>
                    </a:prstGeom>
                  </pic:spPr>
                </pic:pic>
              </a:graphicData>
            </a:graphic>
          </wp:inline>
        </w:drawing>
      </w:r>
    </w:p>
    <w:p>
      <w:pPr>
        <w:pageBreakBefore w:val="0"/>
        <w:kinsoku/>
        <w:wordWrap/>
        <w:overflowPunct/>
        <w:topLinePunct w:val="0"/>
        <w:autoSpaceDE/>
        <w:autoSpaceDN/>
        <w:bidi w:val="0"/>
        <w:adjustRightInd/>
        <w:spacing w:line="240" w:lineRule="auto"/>
        <w:ind w:firstLine="2444" w:firstLineChars="1164"/>
        <w:rPr>
          <w:rFonts w:hint="eastAsia" w:ascii="仿宋_GB2312" w:hAnsi="仿宋_GB2312" w:eastAsia="仿宋_GB2312" w:cs="仿宋_GB2312"/>
          <w:color w:val="auto"/>
          <w:sz w:val="28"/>
          <w:szCs w:val="28"/>
        </w:rPr>
      </w:pPr>
      <w:r>
        <w:rPr>
          <w:rStyle w:val="27"/>
          <w:rFonts w:hint="eastAsia"/>
          <w:lang w:val="en-US" w:eastAsia="zh-CN"/>
        </w:rPr>
        <w:t>图1-19：</w:t>
      </w:r>
      <w:r>
        <w:rPr>
          <w:rStyle w:val="27"/>
          <w:rFonts w:hint="eastAsia"/>
        </w:rPr>
        <w:t>学校教学资源库截图</w:t>
      </w:r>
      <w:r>
        <w:rPr>
          <w:rFonts w:hint="eastAsia" w:ascii="仿宋_GB2312" w:hAnsi="仿宋_GB2312" w:eastAsia="仿宋_GB2312" w:cs="仿宋_GB2312"/>
          <w:color w:val="auto"/>
          <w:sz w:val="28"/>
          <w:szCs w:val="28"/>
        </w:rPr>
        <w:t xml:space="preserve"> </w:t>
      </w:r>
    </w:p>
    <w:p>
      <w:pPr>
        <w:pageBreakBefore w:val="0"/>
        <w:tabs>
          <w:tab w:val="left" w:pos="958"/>
          <w:tab w:val="left" w:pos="1078"/>
        </w:tabs>
        <w:kinsoku/>
        <w:wordWrap/>
        <w:overflowPunct/>
        <w:topLinePunct w:val="0"/>
        <w:autoSpaceDE/>
        <w:autoSpaceDN/>
        <w:bidi w:val="0"/>
        <w:adjustRightInd/>
        <w:spacing w:line="240" w:lineRule="auto"/>
        <w:ind w:firstLine="640" w:firstLineChars="200"/>
        <w:outlineLvl w:val="9"/>
        <w:rPr>
          <w:rFonts w:hint="eastAsia" w:ascii="仿宋_GB2312" w:hAnsi="仿宋_GB2312" w:eastAsia="仿宋_GB2312" w:cs="仿宋_GB2312"/>
          <w:color w:val="auto"/>
          <w:sz w:val="32"/>
          <w:szCs w:val="32"/>
        </w:rPr>
      </w:pP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.4专业发展</w:t>
      </w:r>
    </w:p>
    <w:p>
      <w:pPr>
        <w:pageBreakBefore w:val="0"/>
        <w:widowControl/>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b/>
          <w:bCs/>
          <w:color w:val="auto"/>
          <w:kern w:val="0"/>
          <w:sz w:val="32"/>
          <w:szCs w:val="32"/>
          <w:lang w:bidi="ar"/>
        </w:rPr>
      </w:pPr>
      <w:r>
        <w:rPr>
          <w:rFonts w:hint="eastAsia" w:ascii="仿宋_GB2312" w:hAnsi="仿宋_GB2312" w:eastAsia="仿宋_GB2312" w:cs="仿宋_GB2312"/>
          <w:color w:val="auto"/>
          <w:kern w:val="0"/>
          <w:sz w:val="32"/>
          <w:szCs w:val="32"/>
          <w:lang w:bidi="ar"/>
        </w:rPr>
        <w:t>围绕国家发展战略和天津市“一基地三区”城市功能定位、主动服务京津冀协同和天津市“1+3+4”产业发展需求，主动适应区域经济结构转型升级对技术技能人才提出的新要求。依据教育部印发的《职业教育专业目录（2021年）》，在不断深化校企合作机制体制的基础上，以汽车运用与维修、机电技术应用、计算机应用等传统优势专业为龙头，以电子商务、旅游服务与管理等热门专业为突破口，全面提升学校专业建设水平，对接京津冀协同发展国家战略，服务京津冀产业升级和经济结构调整，紧贴产业需求和行业发展，打造具有现代职业教育特色的质专业。其中学校旅游服务与管理专业被确定为天津市“十四五”创优赋能建设项目的重点建设“优质专业”。</w:t>
      </w:r>
    </w:p>
    <w:p>
      <w:pPr>
        <w:pStyle w:val="3"/>
        <w:bidi w:val="0"/>
        <w:ind w:firstLine="643" w:firstLineChars="200"/>
        <w:rPr>
          <w:rFonts w:hint="eastAsia"/>
        </w:rPr>
      </w:pPr>
      <w:bookmarkStart w:id="25" w:name="_Toc8551"/>
      <w:r>
        <w:rPr>
          <w:rFonts w:hint="eastAsia"/>
          <w:lang w:val="en-US" w:eastAsia="zh-CN"/>
        </w:rPr>
        <w:t>表1-2：</w:t>
      </w:r>
      <w:r>
        <w:rPr>
          <w:rFonts w:hint="eastAsia"/>
        </w:rPr>
        <w:t>天津市信息工程学校专业设置一览表</w:t>
      </w:r>
      <w:bookmarkEnd w:id="25"/>
    </w:p>
    <w:tbl>
      <w:tblPr>
        <w:tblStyle w:val="15"/>
        <w:tblpPr w:leftFromText="180" w:rightFromText="180" w:vertAnchor="text" w:horzAnchor="page" w:tblpXSpec="center" w:tblpY="215"/>
        <w:tblOverlap w:val="never"/>
        <w:tblW w:w="8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183"/>
        <w:gridCol w:w="1450"/>
        <w:gridCol w:w="1850"/>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4"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序号</w:t>
            </w:r>
          </w:p>
        </w:tc>
        <w:tc>
          <w:tcPr>
            <w:tcW w:w="2183"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专业名称</w:t>
            </w:r>
          </w:p>
        </w:tc>
        <w:tc>
          <w:tcPr>
            <w:tcW w:w="14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专业代码</w:t>
            </w:r>
          </w:p>
        </w:tc>
        <w:tc>
          <w:tcPr>
            <w:tcW w:w="18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专业类别</w:t>
            </w:r>
          </w:p>
        </w:tc>
        <w:tc>
          <w:tcPr>
            <w:tcW w:w="2436"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bidi="ar"/>
              </w:rPr>
              <w:t>所属专业大类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4" w:type="dxa"/>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p>
        </w:tc>
        <w:tc>
          <w:tcPr>
            <w:tcW w:w="2183"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园林绿化</w:t>
            </w:r>
          </w:p>
        </w:tc>
        <w:tc>
          <w:tcPr>
            <w:tcW w:w="14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610203</w:t>
            </w:r>
          </w:p>
        </w:tc>
        <w:tc>
          <w:tcPr>
            <w:tcW w:w="18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林业类</w:t>
            </w:r>
          </w:p>
        </w:tc>
        <w:tc>
          <w:tcPr>
            <w:tcW w:w="2436"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农林牧渔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4" w:type="dxa"/>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p>
        </w:tc>
        <w:tc>
          <w:tcPr>
            <w:tcW w:w="2183"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机电技术应用</w:t>
            </w:r>
          </w:p>
        </w:tc>
        <w:tc>
          <w:tcPr>
            <w:tcW w:w="14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660301</w:t>
            </w:r>
          </w:p>
        </w:tc>
        <w:tc>
          <w:tcPr>
            <w:tcW w:w="18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自动化类</w:t>
            </w:r>
          </w:p>
        </w:tc>
        <w:tc>
          <w:tcPr>
            <w:tcW w:w="2436"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装备制造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4" w:type="dxa"/>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p>
        </w:tc>
        <w:tc>
          <w:tcPr>
            <w:tcW w:w="2183"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汽车运用与维修</w:t>
            </w:r>
          </w:p>
        </w:tc>
        <w:tc>
          <w:tcPr>
            <w:tcW w:w="14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700206</w:t>
            </w:r>
          </w:p>
        </w:tc>
        <w:tc>
          <w:tcPr>
            <w:tcW w:w="18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道路运输类</w:t>
            </w:r>
          </w:p>
        </w:tc>
        <w:tc>
          <w:tcPr>
            <w:tcW w:w="2436"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交通运输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4" w:type="dxa"/>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p>
        </w:tc>
        <w:tc>
          <w:tcPr>
            <w:tcW w:w="2183"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计算机应用</w:t>
            </w:r>
          </w:p>
        </w:tc>
        <w:tc>
          <w:tcPr>
            <w:tcW w:w="14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710201</w:t>
            </w:r>
          </w:p>
        </w:tc>
        <w:tc>
          <w:tcPr>
            <w:tcW w:w="18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计算机类</w:t>
            </w:r>
          </w:p>
        </w:tc>
        <w:tc>
          <w:tcPr>
            <w:tcW w:w="2436"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电子与信息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4" w:type="dxa"/>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w:t>
            </w:r>
          </w:p>
        </w:tc>
        <w:tc>
          <w:tcPr>
            <w:tcW w:w="2183"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电子商务</w:t>
            </w:r>
          </w:p>
        </w:tc>
        <w:tc>
          <w:tcPr>
            <w:tcW w:w="14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730701</w:t>
            </w:r>
          </w:p>
        </w:tc>
        <w:tc>
          <w:tcPr>
            <w:tcW w:w="18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电子商务类</w:t>
            </w:r>
          </w:p>
        </w:tc>
        <w:tc>
          <w:tcPr>
            <w:tcW w:w="2436"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财经商贸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4" w:type="dxa"/>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p>
        </w:tc>
        <w:tc>
          <w:tcPr>
            <w:tcW w:w="2183"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旅游服务与管理</w:t>
            </w:r>
          </w:p>
        </w:tc>
        <w:tc>
          <w:tcPr>
            <w:tcW w:w="14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740101</w:t>
            </w:r>
          </w:p>
        </w:tc>
        <w:tc>
          <w:tcPr>
            <w:tcW w:w="18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旅游类</w:t>
            </w:r>
          </w:p>
        </w:tc>
        <w:tc>
          <w:tcPr>
            <w:tcW w:w="2436"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4" w:type="dxa"/>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w:t>
            </w:r>
          </w:p>
        </w:tc>
        <w:tc>
          <w:tcPr>
            <w:tcW w:w="2183"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幼儿保育</w:t>
            </w:r>
          </w:p>
        </w:tc>
        <w:tc>
          <w:tcPr>
            <w:tcW w:w="14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770101</w:t>
            </w:r>
          </w:p>
        </w:tc>
        <w:tc>
          <w:tcPr>
            <w:tcW w:w="1850"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教育类</w:t>
            </w:r>
          </w:p>
        </w:tc>
        <w:tc>
          <w:tcPr>
            <w:tcW w:w="2436" w:type="dxa"/>
            <w:vAlign w:val="center"/>
          </w:tcPr>
          <w:p>
            <w:pPr>
              <w:pageBreakBefore w:val="0"/>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教育与体育</w:t>
            </w:r>
          </w:p>
        </w:tc>
      </w:tr>
    </w:tbl>
    <w:p>
      <w:pPr>
        <w:pageBreakBefore w:val="0"/>
        <w:tabs>
          <w:tab w:val="left" w:pos="958"/>
          <w:tab w:val="left" w:pos="1078"/>
        </w:tabs>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drawing>
          <wp:inline distT="0" distB="0" distL="114300" distR="114300">
            <wp:extent cx="4733925" cy="4792345"/>
            <wp:effectExtent l="0" t="0" r="9525" b="825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8"/>
                    <a:stretch>
                      <a:fillRect/>
                    </a:stretch>
                  </pic:blipFill>
                  <pic:spPr>
                    <a:xfrm>
                      <a:off x="0" y="0"/>
                      <a:ext cx="4736682" cy="4792345"/>
                    </a:xfrm>
                    <a:prstGeom prst="rect">
                      <a:avLst/>
                    </a:prstGeom>
                    <a:noFill/>
                    <a:ln>
                      <a:noFill/>
                    </a:ln>
                  </pic:spPr>
                </pic:pic>
              </a:graphicData>
            </a:graphic>
          </wp:inline>
        </w:drawing>
      </w:r>
    </w:p>
    <w:p>
      <w:pPr>
        <w:pStyle w:val="6"/>
        <w:bidi w:val="0"/>
        <w:ind w:firstLine="420" w:firstLineChars="200"/>
        <w:rPr>
          <w:rFonts w:hint="eastAsia"/>
        </w:rPr>
      </w:pPr>
      <w:bookmarkStart w:id="26" w:name="_Toc1080"/>
      <w:bookmarkStart w:id="27" w:name="_Toc24667"/>
      <w:bookmarkStart w:id="28" w:name="_Toc27239"/>
      <w:r>
        <w:rPr>
          <w:rFonts w:hint="eastAsia"/>
          <w:lang w:val="en-US" w:eastAsia="zh-CN"/>
        </w:rPr>
        <w:t>表1-3：</w:t>
      </w:r>
      <w:r>
        <w:rPr>
          <w:rFonts w:hint="eastAsia"/>
        </w:rPr>
        <w:t>市教委关于公布天津市职业教育创优赋能建设项目立项评审结果的通知</w:t>
      </w:r>
      <w:bookmarkEnd w:id="26"/>
      <w:bookmarkEnd w:id="27"/>
      <w:bookmarkEnd w:id="28"/>
    </w:p>
    <w:p>
      <w:pPr>
        <w:pageBreakBefore w:val="0"/>
        <w:widowControl/>
        <w:kinsoku/>
        <w:wordWrap/>
        <w:overflowPunct/>
        <w:topLinePunct w:val="0"/>
        <w:autoSpaceDE/>
        <w:autoSpaceDN/>
        <w:bidi w:val="0"/>
        <w:adjustRightInd/>
        <w:spacing w:line="240" w:lineRule="auto"/>
        <w:ind w:firstLine="643" w:firstLineChars="200"/>
        <w:jc w:val="left"/>
        <w:outlineLvl w:val="1"/>
        <w:rPr>
          <w:rFonts w:hint="eastAsia" w:ascii="仿宋_GB2312" w:hAnsi="仿宋_GB2312" w:eastAsia="仿宋_GB2312" w:cs="仿宋_GB2312"/>
          <w:color w:val="auto"/>
          <w:kern w:val="0"/>
          <w:sz w:val="32"/>
          <w:szCs w:val="32"/>
          <w:lang w:val="en-US" w:eastAsia="zh-CN" w:bidi="ar"/>
        </w:rPr>
      </w:pPr>
      <w:bookmarkStart w:id="29" w:name="_Toc16253"/>
      <w:bookmarkStart w:id="30" w:name="_Toc3594"/>
      <w:r>
        <w:rPr>
          <w:rFonts w:hint="eastAsia" w:ascii="仿宋_GB2312" w:hAnsi="仿宋_GB2312" w:eastAsia="仿宋_GB2312" w:cs="仿宋_GB2312"/>
          <w:b/>
          <w:bCs/>
          <w:color w:val="auto"/>
          <w:sz w:val="32"/>
          <w:szCs w:val="32"/>
          <w:lang w:val="en-US" w:eastAsia="zh-CN"/>
        </w:rPr>
        <w:t>1.</w:t>
      </w:r>
      <w:bookmarkEnd w:id="29"/>
      <w:r>
        <w:rPr>
          <w:rFonts w:hint="eastAsia" w:ascii="仿宋_GB2312" w:hAnsi="仿宋_GB2312" w:eastAsia="仿宋_GB2312" w:cs="仿宋_GB2312"/>
          <w:b/>
          <w:bCs/>
          <w:color w:val="auto"/>
          <w:sz w:val="32"/>
          <w:szCs w:val="32"/>
          <w:lang w:val="en-US" w:eastAsia="zh-CN"/>
        </w:rPr>
        <w:t>3多样化成长</w:t>
      </w:r>
      <w:bookmarkEnd w:id="30"/>
    </w:p>
    <w:p>
      <w:pPr>
        <w:keepNext w:val="0"/>
        <w:keepLines w:val="0"/>
        <w:pageBreakBefore w:val="0"/>
        <w:widowControl/>
        <w:suppressLineNumbers w:val="0"/>
        <w:kinsoku/>
        <w:wordWrap/>
        <w:overflowPunct/>
        <w:topLinePunct w:val="0"/>
        <w:autoSpaceDE/>
        <w:autoSpaceDN/>
        <w:bidi w:val="0"/>
        <w:adjustRightInd/>
        <w:spacing w:line="240" w:lineRule="auto"/>
        <w:ind w:firstLine="643" w:firstLineChars="200"/>
        <w:jc w:val="left"/>
        <w:outlineLvl w:val="2"/>
        <w:rPr>
          <w:rFonts w:hint="eastAsia" w:ascii="仿宋_GB2312" w:hAnsi="仿宋_GB2312" w:eastAsia="仿宋_GB2312" w:cs="仿宋_GB2312"/>
          <w:b/>
          <w:bCs/>
          <w:color w:val="auto"/>
          <w:kern w:val="0"/>
          <w:sz w:val="32"/>
          <w:szCs w:val="32"/>
          <w:lang w:val="en-US" w:eastAsia="zh-CN" w:bidi="ar"/>
        </w:rPr>
      </w:pPr>
      <w:r>
        <w:rPr>
          <w:rFonts w:hint="eastAsia" w:ascii="仿宋_GB2312" w:hAnsi="仿宋_GB2312" w:eastAsia="仿宋_GB2312" w:cs="仿宋_GB2312"/>
          <w:b/>
          <w:bCs/>
          <w:color w:val="auto"/>
          <w:kern w:val="0"/>
          <w:sz w:val="32"/>
          <w:szCs w:val="32"/>
          <w:lang w:val="en-US" w:eastAsia="zh-CN" w:bidi="ar"/>
        </w:rPr>
        <w:t>1.3.1招生工作</w:t>
      </w:r>
    </w:p>
    <w:p>
      <w:pPr>
        <w:pageBreakBefore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蓟州区2022年生源情况的分析，按照天津市考试院2022年中等职业学校招生录取工作新的要求，在认真总结近几年招生工作经验的基础上，结合学校各专业系发展的需求，为了有效控制招生规模，不断提高生源质量，促进学校持续健康发展，2022年中职招生总计划数1220人，其中含京津冀一体化合作办学“2+1”形式学生120人，本市招生计划1100人；本市招生计划数1100中包含三二分段贯通培养180人，普通中专920人。在招生过程中学校坚持公平、公正、公开的原则圆满完成招生计划。</w:t>
      </w:r>
    </w:p>
    <w:p>
      <w:pPr>
        <w:pageBreakBefore w:val="0"/>
        <w:kinsoku/>
        <w:wordWrap/>
        <w:overflowPunct/>
        <w:topLinePunct w:val="0"/>
        <w:autoSpaceDE/>
        <w:autoSpaceDN/>
        <w:bidi w:val="0"/>
        <w:adjustRightInd/>
        <w:spacing w:line="240" w:lineRule="auto"/>
        <w:ind w:firstLine="643" w:firstLineChars="200"/>
        <w:jc w:val="left"/>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1.3.2成长环境</w:t>
      </w:r>
    </w:p>
    <w:p>
      <w:pPr>
        <w:pageBreakBefore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学校建立了完善的学生资助工作体系，下设学生资助管理中心，中心设立在学校招生就业办公室，专门负责学生资助管理工作，以专业系为单位分别成立了资助工作组，系主任任组长，在遵照国家和我市学生资助政策的前提下，结合我校实际情况制定了《天津市信息工程学校国家助学金管理办法》，《天津市信息工程学校国家奖学金管理办法》《天津市信息工程学校天津市人民政府助学金发放管理实施办法》。近三年学校严格落实国家和我市学生资助工作政策，定期开展资助政策宣传解读，下发资助政策明白纸，对家庭经济困难学生进行准确认定，资助工作严谨规范，各类资金发放准确及时，真正实现了家庭经济困难学生应助尽助，没有让一名学生因为经济困难出现失学情况。</w:t>
      </w: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rPr>
      </w:pPr>
      <w:bookmarkStart w:id="31" w:name="_Toc10942"/>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技能成才</w:t>
      </w:r>
      <w:bookmarkEnd w:id="31"/>
    </w:p>
    <w:p>
      <w:pPr>
        <w:pageBreakBefore w:val="0"/>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技能大赛</w:t>
      </w:r>
    </w:p>
    <w:p>
      <w:pPr>
        <w:pageBreakBefore w:val="0"/>
        <w:kinsoku/>
        <w:wordWrap/>
        <w:overflowPunct/>
        <w:topLinePunct w:val="0"/>
        <w:autoSpaceDE/>
        <w:autoSpaceDN/>
        <w:bidi w:val="0"/>
        <w:adjustRightInd/>
        <w:spacing w:line="240" w:lineRule="auto"/>
        <w:ind w:firstLine="678" w:firstLineChars="212"/>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学校始终把“始于社会需求，终于学生满意” 作为办学宗旨。努力培养学生动手能力，让他们掌握一技之长，走出校门成为企业所需要的优秀人才，能够更好的为区域经济发展服务。为了充分发挥师生的积极性、主动性，学校确定了“以赛促教、以赛促学”的工作思路，每年举行学校技能大赛，并选拔优秀学生参加天津市和全国技能大赛，为学生搭建广阔的展示平台，取得了优异的成绩。</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2022年11月，在天津市第三届“海河工匠杯”职业技能大赛暨第四届全国电子信息服务业职业技能竞赛天津选拔赛中，我校电子商务专业教师刘洋获职工组一等奖、张子君获职工组二等奖；学生张祖安、马靖萱、刘梦娜、雷渃森、纪净含、王森六名同学获互联网营销师赛项市级三等奖。汽车运用与维修专业刘宇同学获“重型车辆维修”赛项市级二等奖，李铮同学获市级三等奖</w:t>
      </w:r>
      <w:r>
        <w:rPr>
          <w:rFonts w:hint="eastAsia" w:ascii="仿宋_GB2312" w:hAnsi="仿宋_GB2312" w:eastAsia="仿宋_GB2312" w:cs="仿宋_GB2312"/>
          <w:color w:val="auto"/>
          <w:sz w:val="32"/>
          <w:szCs w:val="32"/>
          <w:lang w:eastAsia="zh-CN"/>
        </w:rPr>
        <w:t>。</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2023年3月，电子商务专业21名学生参加丝路杯京津冀直播技能大赛，全部获奖，张祖安同学获一等奖，丁熙慧老师获优秀指导教师奖，学校获优秀组织奖。</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2023年4月，我校学生参加了2022年天津市职业院校技能大赛装配钳工、新能源汽车检测与维修、电梯维修保养、电商商务等7个赛项的比赛，其中4人获市级二等奖，11人获市级三等奖。</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5-6月，学校坚持“岗课赛证”综合育人，高水平组织了“天信杯”学生技能大赛导游风采、钳工装配、车加工、维修电工、动机拆装、汽车维护、车轮更换、新能源汽车维护、直播营销、平面广告设计共11项比赛，参赛学生达1300人，获奖学生80人。</w:t>
      </w:r>
    </w:p>
    <w:p>
      <w:pPr>
        <w:pStyle w:val="3"/>
        <w:bidi w:val="0"/>
        <w:ind w:firstLine="1928" w:firstLineChars="600"/>
        <w:rPr>
          <w:rFonts w:hint="eastAsia"/>
        </w:rPr>
      </w:pPr>
      <w:bookmarkStart w:id="32" w:name="_Toc9403"/>
      <w:r>
        <w:rPr>
          <w:rFonts w:hint="eastAsia"/>
          <w:lang w:val="en-US" w:eastAsia="zh-CN"/>
        </w:rPr>
        <w:t>表1-4：</w:t>
      </w:r>
      <w:r>
        <w:rPr>
          <w:rFonts w:hint="eastAsia"/>
        </w:rPr>
        <w:t>天津市信息工程学校</w:t>
      </w:r>
      <w:bookmarkEnd w:id="32"/>
    </w:p>
    <w:p>
      <w:pPr>
        <w:pStyle w:val="3"/>
        <w:bidi w:val="0"/>
        <w:ind w:firstLine="1606" w:firstLineChars="500"/>
        <w:rPr>
          <w:rFonts w:hint="eastAsia" w:ascii="仿宋_GB2312" w:hAnsi="仿宋_GB2312" w:eastAsia="仿宋_GB2312" w:cs="仿宋_GB2312"/>
          <w:b/>
          <w:bCs/>
          <w:color w:val="auto"/>
          <w:kern w:val="0"/>
          <w:sz w:val="32"/>
          <w:szCs w:val="32"/>
          <w:lang w:bidi="ar"/>
        </w:rPr>
      </w:pPr>
      <w:bookmarkStart w:id="33" w:name="_Toc7850"/>
      <w:r>
        <w:rPr>
          <w:rFonts w:hint="eastAsia"/>
        </w:rPr>
        <w:t>202</w:t>
      </w:r>
      <w:r>
        <w:rPr>
          <w:rFonts w:hint="eastAsia"/>
          <w:lang w:val="en-US" w:eastAsia="zh-CN"/>
        </w:rPr>
        <w:t>2</w:t>
      </w:r>
      <w:r>
        <w:rPr>
          <w:rFonts w:hint="eastAsia"/>
        </w:rPr>
        <w:t>年度天津市技能大赛获奖名单</w:t>
      </w:r>
      <w:bookmarkEnd w:id="33"/>
    </w:p>
    <w:tbl>
      <w:tblPr>
        <w:tblStyle w:val="14"/>
        <w:tblW w:w="84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7"/>
        <w:gridCol w:w="3479"/>
        <w:gridCol w:w="2040"/>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bCs/>
                <w:i w:val="0"/>
                <w:iCs w:val="0"/>
                <w:color w:val="auto"/>
                <w:sz w:val="32"/>
                <w:szCs w:val="32"/>
                <w:u w:val="none"/>
              </w:rPr>
            </w:pPr>
            <w:r>
              <w:rPr>
                <w:rFonts w:hint="eastAsia" w:ascii="仿宋_GB2312" w:hAnsi="仿宋_GB2312" w:eastAsia="仿宋_GB2312" w:cs="仿宋_GB2312"/>
                <w:b/>
                <w:bCs/>
                <w:i w:val="0"/>
                <w:iCs w:val="0"/>
                <w:color w:val="auto"/>
                <w:kern w:val="0"/>
                <w:sz w:val="32"/>
                <w:szCs w:val="32"/>
                <w:u w:val="none"/>
                <w:lang w:val="en-US" w:eastAsia="zh-CN" w:bidi="ar"/>
              </w:rPr>
              <w:t>序号</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bCs/>
                <w:i w:val="0"/>
                <w:iCs w:val="0"/>
                <w:color w:val="auto"/>
                <w:sz w:val="32"/>
                <w:szCs w:val="32"/>
                <w:u w:val="none"/>
              </w:rPr>
            </w:pPr>
            <w:r>
              <w:rPr>
                <w:rFonts w:hint="eastAsia" w:ascii="仿宋_GB2312" w:hAnsi="仿宋_GB2312" w:eastAsia="仿宋_GB2312" w:cs="仿宋_GB2312"/>
                <w:b/>
                <w:bCs/>
                <w:i w:val="0"/>
                <w:iCs w:val="0"/>
                <w:color w:val="auto"/>
                <w:kern w:val="0"/>
                <w:sz w:val="32"/>
                <w:szCs w:val="32"/>
                <w:u w:val="none"/>
                <w:lang w:val="en-US" w:eastAsia="zh-CN" w:bidi="ar"/>
              </w:rPr>
              <w:t>参赛项目名称</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bCs/>
                <w:i w:val="0"/>
                <w:iCs w:val="0"/>
                <w:color w:val="auto"/>
                <w:sz w:val="32"/>
                <w:szCs w:val="32"/>
                <w:u w:val="none"/>
              </w:rPr>
            </w:pPr>
            <w:r>
              <w:rPr>
                <w:rFonts w:hint="eastAsia" w:ascii="仿宋_GB2312" w:hAnsi="仿宋_GB2312" w:eastAsia="仿宋_GB2312" w:cs="仿宋_GB2312"/>
                <w:b/>
                <w:bCs/>
                <w:i w:val="0"/>
                <w:iCs w:val="0"/>
                <w:color w:val="auto"/>
                <w:kern w:val="0"/>
                <w:sz w:val="32"/>
                <w:szCs w:val="32"/>
                <w:u w:val="none"/>
                <w:lang w:val="en-US" w:eastAsia="zh-CN" w:bidi="ar"/>
              </w:rPr>
              <w:t>选手姓名</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bCs/>
                <w:i w:val="0"/>
                <w:iCs w:val="0"/>
                <w:color w:val="auto"/>
                <w:sz w:val="32"/>
                <w:szCs w:val="32"/>
                <w:u w:val="none"/>
              </w:rPr>
            </w:pPr>
            <w:r>
              <w:rPr>
                <w:rFonts w:hint="eastAsia" w:ascii="仿宋_GB2312" w:hAnsi="仿宋_GB2312" w:eastAsia="仿宋_GB2312" w:cs="仿宋_GB2312"/>
                <w:b/>
                <w:bCs/>
                <w:i w:val="0"/>
                <w:iCs w:val="0"/>
                <w:color w:val="auto"/>
                <w:kern w:val="0"/>
                <w:sz w:val="32"/>
                <w:szCs w:val="32"/>
                <w:u w:val="none"/>
                <w:lang w:val="en-US" w:eastAsia="zh-CN" w:bidi="ar"/>
              </w:rPr>
              <w:t>获得奖项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1</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装配钳工</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 xml:space="preserve">李昕炎 </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2</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新能源汽车检测与维修</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张宁芮</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3</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新能源汽车检测与维修</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宾烁剀</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4</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电梯维修保养</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代鸿良</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5</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电梯维修保养</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刘森硕</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6</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农机维修</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 xml:space="preserve">张泽宇 </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7</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农机维修</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刘子豪</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8</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农机维修</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李淏</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9</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社交电商运营技能</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钱证宇</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市级二等奖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10</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社交电商运营技能</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王淼</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11</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社交电商运营技能</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纪净含</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12</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电子商务技能</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雷渃淼</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13</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电子商务技能</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杨森</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14</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电子商务技能</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郭金雨</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9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15</w:t>
            </w:r>
          </w:p>
        </w:tc>
        <w:tc>
          <w:tcPr>
            <w:tcW w:w="3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电子商务技能</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张祖安</w:t>
            </w:r>
          </w:p>
        </w:tc>
        <w:tc>
          <w:tcPr>
            <w:tcW w:w="19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市级三等奖</w:t>
            </w:r>
          </w:p>
        </w:tc>
      </w:tr>
    </w:tbl>
    <w:p>
      <w:pPr>
        <w:pageBreakBefore w:val="0"/>
        <w:widowControl/>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bCs/>
          <w:color w:val="auto"/>
          <w:kern w:val="0"/>
          <w:sz w:val="32"/>
          <w:szCs w:val="32"/>
          <w:lang w:bidi="ar"/>
        </w:rPr>
      </w:pPr>
    </w:p>
    <w:p>
      <w:pPr>
        <w:pageBreakBefore w:val="0"/>
        <w:kinsoku/>
        <w:wordWrap/>
        <w:overflowPunct/>
        <w:topLinePunct w:val="0"/>
        <w:autoSpaceDE/>
        <w:autoSpaceDN/>
        <w:bidi w:val="0"/>
        <w:adjustRightInd/>
        <w:spacing w:line="240" w:lineRule="auto"/>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drawing>
          <wp:inline distT="0" distB="0" distL="114300" distR="114300">
            <wp:extent cx="2495550" cy="1871980"/>
            <wp:effectExtent l="0" t="0" r="0" b="13970"/>
            <wp:docPr id="46" name="图片 46" descr="db03b1c459e41c09270f562ec437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b03b1c459e41c09270f562ec437cdf"/>
                    <pic:cNvPicPr>
                      <a:picLocks noChangeAspect="1"/>
                    </pic:cNvPicPr>
                  </pic:nvPicPr>
                  <pic:blipFill>
                    <a:blip r:embed="rId39"/>
                    <a:stretch>
                      <a:fillRect/>
                    </a:stretch>
                  </pic:blipFill>
                  <pic:spPr>
                    <a:xfrm>
                      <a:off x="0" y="0"/>
                      <a:ext cx="2495550" cy="1871980"/>
                    </a:xfrm>
                    <a:prstGeom prst="rect">
                      <a:avLst/>
                    </a:prstGeom>
                  </pic:spPr>
                </pic:pic>
              </a:graphicData>
            </a:graphic>
          </wp:inline>
        </w:drawing>
      </w:r>
      <w:r>
        <w:rPr>
          <w:rFonts w:hint="eastAsia" w:ascii="仿宋_GB2312" w:hAnsi="仿宋_GB2312" w:eastAsia="仿宋_GB2312" w:cs="仿宋_GB2312"/>
          <w:color w:val="auto"/>
          <w:sz w:val="32"/>
          <w:szCs w:val="32"/>
          <w:lang w:bidi="ar"/>
        </w:rPr>
        <w:t xml:space="preserve">  </w:t>
      </w:r>
      <w:r>
        <w:rPr>
          <w:rFonts w:hint="eastAsia" w:ascii="仿宋_GB2312" w:hAnsi="仿宋_GB2312" w:eastAsia="仿宋_GB2312" w:cs="仿宋_GB2312"/>
          <w:color w:val="auto"/>
          <w:sz w:val="32"/>
          <w:szCs w:val="32"/>
        </w:rPr>
        <w:drawing>
          <wp:inline distT="0" distB="0" distL="114300" distR="114300">
            <wp:extent cx="2495550" cy="1871980"/>
            <wp:effectExtent l="0" t="0" r="0" b="13970"/>
            <wp:docPr id="2" name="图片 2" descr="IMG_20210603_15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10603_150601"/>
                    <pic:cNvPicPr>
                      <a:picLocks noChangeAspect="1"/>
                    </pic:cNvPicPr>
                  </pic:nvPicPr>
                  <pic:blipFill>
                    <a:blip r:embed="rId40"/>
                    <a:stretch>
                      <a:fillRect/>
                    </a:stretch>
                  </pic:blipFill>
                  <pic:spPr>
                    <a:xfrm>
                      <a:off x="0" y="0"/>
                      <a:ext cx="2495550" cy="1871980"/>
                    </a:xfrm>
                    <a:prstGeom prst="rect">
                      <a:avLst/>
                    </a:prstGeom>
                  </pic:spPr>
                </pic:pic>
              </a:graphicData>
            </a:graphic>
          </wp:inline>
        </w:drawing>
      </w:r>
    </w:p>
    <w:p>
      <w:pPr>
        <w:pStyle w:val="6"/>
        <w:bidi w:val="0"/>
        <w:ind w:firstLine="2520" w:firstLineChars="1200"/>
        <w:rPr>
          <w:rFonts w:hint="eastAsia" w:ascii="仿宋_GB2312" w:hAnsi="仿宋_GB2312" w:eastAsia="仿宋_GB2312" w:cs="仿宋_GB2312"/>
          <w:color w:val="auto"/>
          <w:szCs w:val="24"/>
        </w:rPr>
      </w:pPr>
      <w:bookmarkStart w:id="34" w:name="_Toc12818"/>
      <w:bookmarkStart w:id="35" w:name="_Toc7844"/>
      <w:bookmarkStart w:id="36" w:name="_Toc11984"/>
      <w:r>
        <w:rPr>
          <w:rFonts w:hint="eastAsia"/>
          <w:lang w:val="en-US" w:eastAsia="zh-CN"/>
        </w:rPr>
        <w:t>图1-20：</w:t>
      </w:r>
      <w:r>
        <w:rPr>
          <w:rFonts w:hint="eastAsia"/>
        </w:rPr>
        <w:t>学校技能大赛比赛照片</w:t>
      </w:r>
      <w:bookmarkEnd w:id="34"/>
      <w:bookmarkEnd w:id="35"/>
      <w:bookmarkEnd w:id="36"/>
    </w:p>
    <w:p>
      <w:pPr>
        <w:pageBreakBefore w:val="0"/>
        <w:tabs>
          <w:tab w:val="left" w:pos="958"/>
          <w:tab w:val="left" w:pos="1078"/>
        </w:tabs>
        <w:kinsoku/>
        <w:wordWrap/>
        <w:overflowPunct/>
        <w:topLinePunct w:val="0"/>
        <w:autoSpaceDE/>
        <w:autoSpaceDN/>
        <w:bidi w:val="0"/>
        <w:adjustRightInd/>
        <w:spacing w:line="240" w:lineRule="auto"/>
        <w:ind w:firstLine="640" w:firstLineChars="200"/>
        <w:outlineLvl w:val="9"/>
        <w:rPr>
          <w:rFonts w:hint="eastAsia" w:ascii="仿宋_GB2312" w:hAnsi="仿宋_GB2312" w:eastAsia="仿宋_GB2312" w:cs="仿宋_GB2312"/>
          <w:color w:val="auto"/>
          <w:sz w:val="32"/>
          <w:szCs w:val="32"/>
        </w:rPr>
      </w:pPr>
    </w:p>
    <w:p>
      <w:pPr>
        <w:pageBreakBefore w:val="0"/>
        <w:tabs>
          <w:tab w:val="left" w:pos="958"/>
          <w:tab w:val="left" w:pos="1078"/>
        </w:tabs>
        <w:kinsoku/>
        <w:wordWrap/>
        <w:overflowPunct/>
        <w:topLinePunct w:val="0"/>
        <w:autoSpaceDE/>
        <w:autoSpaceDN/>
        <w:bidi w:val="0"/>
        <w:adjustRightInd/>
        <w:spacing w:line="240" w:lineRule="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drawing>
          <wp:inline distT="0" distB="0" distL="114300" distR="114300">
            <wp:extent cx="2496185" cy="1871980"/>
            <wp:effectExtent l="0" t="0" r="18415" b="13970"/>
            <wp:docPr id="47" name="图片 47" descr="ef71cf9477313780649aa5da60a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f71cf9477313780649aa5da60a1497"/>
                    <pic:cNvPicPr>
                      <a:picLocks noChangeAspect="1"/>
                    </pic:cNvPicPr>
                  </pic:nvPicPr>
                  <pic:blipFill>
                    <a:blip r:embed="rId41"/>
                    <a:stretch>
                      <a:fillRect/>
                    </a:stretch>
                  </pic:blipFill>
                  <pic:spPr>
                    <a:xfrm>
                      <a:off x="0" y="0"/>
                      <a:ext cx="2496185" cy="1871980"/>
                    </a:xfrm>
                    <a:prstGeom prst="rect">
                      <a:avLst/>
                    </a:prstGeom>
                  </pic:spPr>
                </pic:pic>
              </a:graphicData>
            </a:graphic>
          </wp:inline>
        </w:drawing>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eastAsia="zh-CN"/>
        </w:rPr>
        <w:drawing>
          <wp:inline distT="0" distB="0" distL="114300" distR="114300">
            <wp:extent cx="2496185" cy="1871980"/>
            <wp:effectExtent l="0" t="0" r="18415" b="13970"/>
            <wp:docPr id="48" name="图片 48" descr="农机维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农机维修"/>
                    <pic:cNvPicPr>
                      <a:picLocks noChangeAspect="1"/>
                    </pic:cNvPicPr>
                  </pic:nvPicPr>
                  <pic:blipFill>
                    <a:blip r:embed="rId42"/>
                    <a:stretch>
                      <a:fillRect/>
                    </a:stretch>
                  </pic:blipFill>
                  <pic:spPr>
                    <a:xfrm>
                      <a:off x="0" y="0"/>
                      <a:ext cx="2496185" cy="1871980"/>
                    </a:xfrm>
                    <a:prstGeom prst="rect">
                      <a:avLst/>
                    </a:prstGeom>
                  </pic:spPr>
                </pic:pic>
              </a:graphicData>
            </a:graphic>
          </wp:inline>
        </w:drawing>
      </w:r>
      <w:r>
        <w:rPr>
          <w:rFonts w:hint="eastAsia" w:ascii="仿宋_GB2312" w:hAnsi="仿宋_GB2312" w:eastAsia="仿宋_GB2312" w:cs="仿宋_GB2312"/>
          <w:color w:val="auto"/>
          <w:sz w:val="32"/>
          <w:szCs w:val="32"/>
        </w:rPr>
        <w:t xml:space="preserve"> </w:t>
      </w:r>
    </w:p>
    <w:p>
      <w:pPr>
        <w:pStyle w:val="6"/>
        <w:bidi w:val="0"/>
        <w:ind w:firstLine="1890" w:firstLineChars="900"/>
        <w:rPr>
          <w:rFonts w:hint="eastAsia"/>
        </w:rPr>
      </w:pPr>
      <w:r>
        <w:rPr>
          <w:rFonts w:hint="eastAsia"/>
          <w:lang w:val="en-US" w:eastAsia="zh-CN"/>
        </w:rPr>
        <w:t>图1-21：</w:t>
      </w:r>
      <w:r>
        <w:rPr>
          <w:rFonts w:hint="eastAsia"/>
        </w:rPr>
        <w:t>学生参加</w:t>
      </w:r>
      <w:r>
        <w:rPr>
          <w:rFonts w:hint="eastAsia"/>
          <w:lang w:val="en-US" w:eastAsia="zh-CN"/>
        </w:rPr>
        <w:t>2022年</w:t>
      </w:r>
      <w:r>
        <w:rPr>
          <w:rFonts w:hint="eastAsia"/>
        </w:rPr>
        <w:t>天津市技能大赛照片</w:t>
      </w:r>
    </w:p>
    <w:p>
      <w:pPr>
        <w:pageBreakBefore w:val="0"/>
        <w:tabs>
          <w:tab w:val="left" w:pos="958"/>
          <w:tab w:val="left" w:pos="1078"/>
        </w:tabs>
        <w:kinsoku/>
        <w:wordWrap/>
        <w:overflowPunct/>
        <w:topLinePunct w:val="0"/>
        <w:autoSpaceDE/>
        <w:autoSpaceDN/>
        <w:bidi w:val="0"/>
        <w:adjustRightInd/>
        <w:spacing w:line="240" w:lineRule="auto"/>
        <w:outlineLvl w:val="9"/>
        <w:rPr>
          <w:rFonts w:hint="eastAsia" w:ascii="仿宋_GB2312" w:hAnsi="仿宋_GB2312" w:eastAsia="仿宋_GB2312" w:cs="仿宋_GB2312"/>
          <w:color w:val="auto"/>
          <w:sz w:val="32"/>
          <w:szCs w:val="32"/>
        </w:rPr>
      </w:pPr>
    </w:p>
    <w:p>
      <w:pPr>
        <w:pStyle w:val="3"/>
        <w:bidi w:val="0"/>
        <w:jc w:val="center"/>
        <w:rPr>
          <w:rFonts w:hint="eastAsia"/>
          <w:lang w:val="en-US" w:eastAsia="zh-CN"/>
        </w:rPr>
      </w:pPr>
      <w:bookmarkStart w:id="37" w:name="_Toc12439"/>
      <w:r>
        <w:rPr>
          <w:rFonts w:hint="eastAsia"/>
          <w:lang w:val="en-US" w:eastAsia="zh-CN"/>
        </w:rPr>
        <w:t>案例1-6：以技能大赛为抓手，全面推进专业建设</w:t>
      </w:r>
      <w:bookmarkEnd w:id="37"/>
    </w:p>
    <w:p>
      <w:pPr>
        <w:pageBreakBefore w:val="0"/>
        <w:widowControl/>
        <w:kinsoku/>
        <w:wordWrap/>
        <w:overflowPunct/>
        <w:topLinePunct w:val="0"/>
        <w:autoSpaceDE/>
        <w:autoSpaceDN/>
        <w:bidi w:val="0"/>
        <w:adjustRightInd/>
        <w:spacing w:beforeAutospacing="0" w:afterAutospacing="0" w:line="240" w:lineRule="auto"/>
        <w:ind w:firstLine="56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学校在专业技能教学中坚持“以赛促学、以赛促教”，以多层次的技能比赛为抓手，促进师生技能水平的不断提高，全面推进专业建设。在教学中，首先由技能大赛教练团队分析职业技能大赛规程,有针对性地加强专业基础课程内容，整合专业基础理论，精简重复交叉内容，压缩不必要内容，加强与大赛相关的知识和技能训练，把职业技能培养过程由易到难分为基本技能模块、专项技能模块和综合拓展技能模块，重构“德技并重，能力递进”有效实用的专业核心课程体。其次，学校广搭平台，充分借助学校“天信杯”技能大赛、天津市中职院校技能比赛、海河工匠杯技能竞赛以及各类行业比赛，鼓励师生参与，不断提升参赛师生覆盖面，极大地调动了师生技能训练的积极性，进而有效促进了专业建设和师生技能水平提升。</w:t>
      </w:r>
    </w:p>
    <w:p>
      <w:pPr>
        <w:pageBreakBefore w:val="0"/>
        <w:widowControl/>
        <w:kinsoku/>
        <w:wordWrap/>
        <w:overflowPunct/>
        <w:topLinePunct w:val="0"/>
        <w:autoSpaceDE/>
        <w:autoSpaceDN/>
        <w:bidi w:val="0"/>
        <w:adjustRightInd/>
        <w:spacing w:beforeAutospacing="0" w:afterAutospacing="0" w:line="240" w:lineRule="auto"/>
        <w:ind w:firstLine="560"/>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drawing>
          <wp:inline distT="0" distB="0" distL="114300" distR="114300">
            <wp:extent cx="4826000" cy="2743200"/>
            <wp:effectExtent l="4445" t="4445" r="8255" b="14605"/>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6"/>
        <w:bidi w:val="0"/>
        <w:jc w:val="center"/>
        <w:rPr>
          <w:rFonts w:hint="eastAsia"/>
          <w:lang w:val="en-US" w:eastAsia="zh-CN"/>
        </w:rPr>
      </w:pPr>
      <w:r>
        <w:rPr>
          <w:rFonts w:hint="eastAsia"/>
          <w:lang w:val="en-US" w:eastAsia="zh-CN"/>
        </w:rPr>
        <w:t>图1-22：2022、2023年度师生参加技能大赛情况统计</w:t>
      </w:r>
    </w:p>
    <w:p>
      <w:pPr>
        <w:pStyle w:val="3"/>
        <w:bidi w:val="0"/>
        <w:ind w:firstLine="1285" w:firstLineChars="400"/>
        <w:rPr>
          <w:rFonts w:hint="eastAsia"/>
        </w:rPr>
      </w:pPr>
      <w:bookmarkStart w:id="38" w:name="_Toc5458"/>
      <w:r>
        <w:rPr>
          <w:rFonts w:hint="eastAsia"/>
          <w:lang w:val="en-US" w:eastAsia="zh-CN"/>
        </w:rPr>
        <w:t>案例1-7：</w:t>
      </w:r>
      <w:r>
        <w:rPr>
          <w:rFonts w:hint="eastAsia"/>
        </w:rPr>
        <w:t>技能大赛成就课程一体化教学</w:t>
      </w:r>
      <w:bookmarkEnd w:id="38"/>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在专业</w:t>
      </w:r>
      <w:r>
        <w:rPr>
          <w:rFonts w:hint="eastAsia" w:ascii="仿宋_GB2312" w:hAnsi="仿宋_GB2312" w:eastAsia="仿宋_GB2312" w:cs="仿宋_GB2312"/>
          <w:sz w:val="32"/>
          <w:szCs w:val="32"/>
          <w:lang w:val="en-US" w:eastAsia="zh-CN"/>
        </w:rPr>
        <w:t>课</w:t>
      </w:r>
      <w:r>
        <w:rPr>
          <w:rFonts w:hint="eastAsia" w:ascii="仿宋_GB2312" w:hAnsi="仿宋_GB2312" w:eastAsia="仿宋_GB2312" w:cs="仿宋_GB2312"/>
          <w:sz w:val="32"/>
          <w:szCs w:val="32"/>
        </w:rPr>
        <w:t>教学时，结合本地区的企业、行业相关职业岗位需求状况，通过调研分析，将技能大赛的标准有机融入到人才培养目标、课程</w:t>
      </w:r>
      <w:r>
        <w:rPr>
          <w:rFonts w:hint="eastAsia" w:ascii="仿宋_GB2312" w:hAnsi="仿宋_GB2312" w:eastAsia="仿宋_GB2312" w:cs="仿宋_GB2312"/>
          <w:sz w:val="32"/>
          <w:szCs w:val="32"/>
          <w:lang w:val="en-US" w:eastAsia="zh-CN"/>
        </w:rPr>
        <w:t>教</w:t>
      </w:r>
      <w:r>
        <w:rPr>
          <w:rFonts w:hint="eastAsia" w:ascii="仿宋_GB2312" w:hAnsi="仿宋_GB2312" w:eastAsia="仿宋_GB2312" w:cs="仿宋_GB2312"/>
          <w:sz w:val="32"/>
          <w:szCs w:val="32"/>
        </w:rPr>
        <w:t>环节中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这就使得专业教学标准同时本</w:t>
      </w:r>
      <w:r>
        <w:rPr>
          <w:rFonts w:hint="eastAsia" w:ascii="仿宋_GB2312" w:hAnsi="仿宋_GB2312" w:eastAsia="仿宋_GB2312" w:cs="仿宋_GB2312"/>
          <w:sz w:val="32"/>
          <w:szCs w:val="32"/>
          <w:lang w:val="en-US" w:eastAsia="zh-CN"/>
        </w:rPr>
        <w:t>地</w:t>
      </w:r>
      <w:r>
        <w:rPr>
          <w:rFonts w:hint="eastAsia" w:ascii="仿宋_GB2312" w:hAnsi="仿宋_GB2312" w:eastAsia="仿宋_GB2312" w:cs="仿宋_GB2312"/>
          <w:sz w:val="32"/>
          <w:szCs w:val="32"/>
        </w:rPr>
        <w:t>化</w:t>
      </w:r>
      <w:r>
        <w:rPr>
          <w:rFonts w:hint="eastAsia" w:ascii="仿宋_GB2312" w:hAnsi="仿宋_GB2312" w:eastAsia="仿宋_GB2312" w:cs="仿宋_GB2312"/>
          <w:sz w:val="32"/>
          <w:szCs w:val="32"/>
          <w:lang w:val="en-US" w:eastAsia="zh-CN"/>
        </w:rPr>
        <w:t>和大赛</w:t>
      </w:r>
      <w:r>
        <w:rPr>
          <w:rFonts w:hint="eastAsia" w:ascii="仿宋_GB2312" w:hAnsi="仿宋_GB2312" w:eastAsia="仿宋_GB2312" w:cs="仿宋_GB2312"/>
          <w:sz w:val="32"/>
          <w:szCs w:val="32"/>
        </w:rPr>
        <w:t>相结合。</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由于技能大赛的</w:t>
      </w:r>
      <w:r>
        <w:rPr>
          <w:rFonts w:hint="eastAsia" w:ascii="仿宋_GB2312" w:hAnsi="仿宋_GB2312" w:eastAsia="仿宋_GB2312" w:cs="仿宋_GB2312"/>
          <w:sz w:val="32"/>
          <w:szCs w:val="32"/>
          <w:lang w:val="en-US" w:eastAsia="zh-CN"/>
        </w:rPr>
        <w:t>比赛</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来源</w:t>
      </w:r>
      <w:r>
        <w:rPr>
          <w:rFonts w:hint="eastAsia" w:ascii="仿宋_GB2312" w:hAnsi="仿宋_GB2312" w:eastAsia="仿宋_GB2312" w:cs="仿宋_GB2312"/>
          <w:sz w:val="32"/>
          <w:szCs w:val="32"/>
        </w:rPr>
        <w:t>于当前企业的实际工作岗位，使专业教学内容更贴近生产实践。同时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邀相关企业专家对</w:t>
      </w:r>
      <w:r>
        <w:rPr>
          <w:rFonts w:hint="eastAsia" w:ascii="仿宋_GB2312" w:hAnsi="仿宋_GB2312" w:eastAsia="仿宋_GB2312" w:cs="仿宋_GB2312"/>
          <w:sz w:val="32"/>
          <w:szCs w:val="32"/>
          <w:lang w:val="en-US" w:eastAsia="zh-CN"/>
        </w:rPr>
        <w:t>学生</w:t>
      </w:r>
      <w:r>
        <w:rPr>
          <w:rFonts w:hint="eastAsia" w:ascii="仿宋_GB2312" w:hAnsi="仿宋_GB2312" w:eastAsia="仿宋_GB2312" w:cs="仿宋_GB2312"/>
          <w:sz w:val="32"/>
          <w:szCs w:val="32"/>
        </w:rPr>
        <w:t>进行指导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安排教师入企实践，还可以在校内通过“内训+外训”相结合的方式对专业教师进行培训，提升“双师型”教师队伍的建设，推动专业教学顺利实施。</w:t>
      </w:r>
    </w:p>
    <w:p>
      <w:pPr>
        <w:pageBreakBefore w:val="0"/>
        <w:widowControl/>
        <w:kinsoku/>
        <w:wordWrap/>
        <w:overflowPunct/>
        <w:topLinePunct w:val="0"/>
        <w:autoSpaceDE/>
        <w:autoSpaceDN/>
        <w:bidi w:val="0"/>
        <w:adjustRightInd/>
        <w:spacing w:beforeAutospacing="0" w:afterAutospacing="0" w:line="240" w:lineRule="auto"/>
        <w:jc w:val="both"/>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30495" cy="3114040"/>
            <wp:effectExtent l="0" t="0" r="8255" b="10160"/>
            <wp:docPr id="15" name="图片 15" descr="ca498ed252491600ae9fcf746ee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a498ed252491600ae9fcf746ee5275"/>
                    <pic:cNvPicPr>
                      <a:picLocks noChangeAspect="1"/>
                    </pic:cNvPicPr>
                  </pic:nvPicPr>
                  <pic:blipFill>
                    <a:blip r:embed="rId44"/>
                    <a:stretch>
                      <a:fillRect/>
                    </a:stretch>
                  </pic:blipFill>
                  <pic:spPr>
                    <a:xfrm>
                      <a:off x="0" y="0"/>
                      <a:ext cx="5230495" cy="3114040"/>
                    </a:xfrm>
                    <a:prstGeom prst="rect">
                      <a:avLst/>
                    </a:prstGeom>
                  </pic:spPr>
                </pic:pic>
              </a:graphicData>
            </a:graphic>
          </wp:inline>
        </w:drawing>
      </w:r>
    </w:p>
    <w:p>
      <w:pPr>
        <w:pStyle w:val="6"/>
        <w:bidi w:val="0"/>
        <w:ind w:firstLine="2940" w:firstLineChars="1400"/>
        <w:rPr>
          <w:rFonts w:hint="default" w:eastAsiaTheme="minorEastAsia"/>
          <w:szCs w:val="24"/>
          <w:lang w:val="en-US" w:eastAsia="zh-CN"/>
        </w:rPr>
      </w:pPr>
      <w:r>
        <w:rPr>
          <w:rFonts w:hint="eastAsia"/>
          <w:lang w:val="en-US" w:eastAsia="zh-CN"/>
        </w:rPr>
        <w:t>图1-23：汽车发动机拆装实训</w:t>
      </w: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lang w:val="en-US" w:eastAsia="zh-CN"/>
        </w:rPr>
      </w:pPr>
      <w:bookmarkStart w:id="39" w:name="_Toc2704"/>
      <w:r>
        <w:rPr>
          <w:rFonts w:hint="eastAsia" w:ascii="仿宋_GB2312" w:hAnsi="仿宋_GB2312" w:eastAsia="仿宋_GB2312" w:cs="仿宋_GB2312"/>
          <w:b/>
          <w:bCs/>
          <w:color w:val="auto"/>
          <w:sz w:val="32"/>
          <w:szCs w:val="32"/>
          <w:lang w:val="en-US" w:eastAsia="zh-CN"/>
        </w:rPr>
        <w:t>1.5职业发展</w:t>
      </w:r>
      <w:bookmarkEnd w:id="39"/>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1.5.1升学情况</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学校注重学生的可持续发展，</w:t>
      </w:r>
      <w:r>
        <w:rPr>
          <w:rFonts w:hint="eastAsia" w:ascii="仿宋_GB2312" w:hAnsi="仿宋_GB2312" w:eastAsia="仿宋_GB2312" w:cs="仿宋_GB2312"/>
          <w:color w:val="auto"/>
          <w:sz w:val="32"/>
          <w:szCs w:val="32"/>
        </w:rPr>
        <w:t>2023年1月，学校20级237名汽车运用与维修、机电技术应用、计算机应用、学前教育、旅游服务与管理、园林绿化六个专业“三二分段”学生顺利通过中职接高职统一考试，升入高职院校。2023年4月，827名学生参加高中分类考试，升入高等院校，其中9名同学升入本科院校。</w:t>
      </w:r>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1.5.2师资队伍建设</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2022-2023 学年，学校有校内专任教师 200 人，生师比为 17.2:1，校内专任专业教师 69 人，占专任教师的 34.5%；学校十分重视“双师型”教师培养，本学年，学校按照天津市教育委员会《关于组织开展2023年天津市职业教育双师型教师认定工作的通知》（津教职函[2023]40号）文件要求，完善了学校双师型教师认定的相关制度、文件，完成双师型教师认定62人，其中初级3人，中级29人，高级30人。</w:t>
      </w:r>
      <w:bookmarkStart w:id="40" w:name="_Toc661"/>
      <w:bookmarkStart w:id="41" w:name="_Toc9535"/>
    </w:p>
    <w:p>
      <w:pPr>
        <w:pageBreakBefore w:val="0"/>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1.5.3就业情况</w:t>
      </w:r>
    </w:p>
    <w:p>
      <w:pPr>
        <w:pageBreakBefore w:val="0"/>
        <w:kinsoku/>
        <w:wordWrap/>
        <w:overflowPunct/>
        <w:topLinePunct w:val="0"/>
        <w:autoSpaceDE/>
        <w:autoSpaceDN/>
        <w:bidi w:val="0"/>
        <w:adjustRightInd/>
        <w:spacing w:line="240" w:lineRule="auto"/>
        <w:ind w:firstLine="561"/>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学校始终坚持“始于社会需求，终于学生满意”的办学宗旨，认真做好毕业生就业安置工作。先后与北京金航苑物业管理有限公司、国电博纳</w:t>
      </w:r>
      <w:r>
        <w:rPr>
          <w:rFonts w:hint="eastAsia" w:ascii="仿宋_GB2312" w:hAnsi="仿宋_GB2312" w:eastAsia="仿宋_GB2312" w:cs="仿宋_GB2312"/>
          <w:color w:val="auto"/>
          <w:kern w:val="0"/>
          <w:sz w:val="32"/>
          <w:szCs w:val="32"/>
          <w:lang w:val="en-US" w:eastAsia="zh-CN"/>
        </w:rPr>
        <w:t>天津电气设备</w:t>
      </w:r>
      <w:r>
        <w:rPr>
          <w:rFonts w:hint="eastAsia" w:ascii="仿宋_GB2312" w:hAnsi="仿宋_GB2312" w:eastAsia="仿宋_GB2312" w:cs="仿宋_GB2312"/>
          <w:color w:val="auto"/>
          <w:kern w:val="0"/>
          <w:sz w:val="32"/>
          <w:szCs w:val="32"/>
        </w:rPr>
        <w:t>有限公司、</w:t>
      </w:r>
      <w:r>
        <w:rPr>
          <w:rFonts w:hint="eastAsia" w:ascii="仿宋_GB2312" w:hAnsi="仿宋_GB2312" w:eastAsia="仿宋_GB2312" w:cs="仿宋_GB2312"/>
          <w:color w:val="auto"/>
          <w:kern w:val="0"/>
          <w:sz w:val="32"/>
          <w:szCs w:val="32"/>
          <w:lang w:val="en-US" w:eastAsia="zh-CN"/>
        </w:rPr>
        <w:t>天津常道盛业</w:t>
      </w:r>
      <w:r>
        <w:rPr>
          <w:rFonts w:hint="eastAsia" w:ascii="仿宋_GB2312" w:hAnsi="仿宋_GB2312" w:eastAsia="仿宋_GB2312" w:cs="仿宋_GB2312"/>
          <w:color w:val="auto"/>
          <w:kern w:val="0"/>
          <w:sz w:val="32"/>
          <w:szCs w:val="32"/>
        </w:rPr>
        <w:t>有限公司、</w:t>
      </w:r>
      <w:r>
        <w:rPr>
          <w:rFonts w:hint="eastAsia" w:ascii="仿宋_GB2312" w:hAnsi="仿宋_GB2312" w:eastAsia="仿宋_GB2312" w:cs="仿宋_GB2312"/>
          <w:color w:val="auto"/>
          <w:kern w:val="0"/>
          <w:sz w:val="32"/>
          <w:szCs w:val="32"/>
          <w:lang w:val="en-US" w:eastAsia="zh-CN"/>
        </w:rPr>
        <w:t>北京怡生园酒店</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天津图葳数码科技</w:t>
      </w:r>
      <w:r>
        <w:rPr>
          <w:rFonts w:hint="eastAsia" w:ascii="仿宋_GB2312" w:hAnsi="仿宋_GB2312" w:eastAsia="仿宋_GB2312" w:cs="仿宋_GB2312"/>
          <w:color w:val="auto"/>
          <w:kern w:val="0"/>
          <w:sz w:val="32"/>
          <w:szCs w:val="32"/>
        </w:rPr>
        <w:t>、天津欢乐谷主题公园、大厂百旺之林幼儿园等企事业单位保持长期稳定的校企合作关系，为毕业生就业提供了稳定的就业平台。</w:t>
      </w:r>
    </w:p>
    <w:p>
      <w:pPr>
        <w:pageBreakBefore w:val="0"/>
        <w:kinsoku/>
        <w:wordWrap/>
        <w:overflowPunct/>
        <w:topLinePunct w:val="0"/>
        <w:autoSpaceDE/>
        <w:autoSpaceDN/>
        <w:bidi w:val="0"/>
        <w:adjustRightInd/>
        <w:spacing w:line="240" w:lineRule="auto"/>
        <w:ind w:firstLine="561"/>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2023</w:t>
      </w:r>
      <w:r>
        <w:rPr>
          <w:rFonts w:hint="eastAsia" w:ascii="仿宋_GB2312" w:hAnsi="仿宋_GB2312" w:eastAsia="仿宋_GB2312" w:cs="仿宋_GB2312"/>
          <w:color w:val="auto"/>
          <w:kern w:val="0"/>
          <w:sz w:val="32"/>
          <w:szCs w:val="32"/>
        </w:rPr>
        <w:t>年毕业学生数量为</w:t>
      </w:r>
      <w:r>
        <w:rPr>
          <w:rFonts w:hint="eastAsia" w:ascii="仿宋_GB2312" w:hAnsi="仿宋_GB2312" w:eastAsia="仿宋_GB2312" w:cs="仿宋_GB2312"/>
          <w:color w:val="auto"/>
          <w:kern w:val="0"/>
          <w:sz w:val="32"/>
          <w:szCs w:val="32"/>
          <w:lang w:val="en-US" w:eastAsia="zh-CN"/>
        </w:rPr>
        <w:t>1166</w:t>
      </w:r>
      <w:r>
        <w:rPr>
          <w:rFonts w:hint="eastAsia" w:ascii="仿宋_GB2312" w:hAnsi="仿宋_GB2312" w:eastAsia="仿宋_GB2312" w:cs="仿宋_GB2312"/>
          <w:color w:val="auto"/>
          <w:kern w:val="0"/>
          <w:sz w:val="32"/>
          <w:szCs w:val="32"/>
        </w:rPr>
        <w:t>人，初次就业人数为</w:t>
      </w:r>
      <w:r>
        <w:rPr>
          <w:rFonts w:hint="eastAsia" w:ascii="仿宋_GB2312" w:hAnsi="仿宋_GB2312" w:eastAsia="仿宋_GB2312" w:cs="仿宋_GB2312"/>
          <w:color w:val="auto"/>
          <w:kern w:val="0"/>
          <w:sz w:val="32"/>
          <w:szCs w:val="32"/>
          <w:lang w:val="en-US" w:eastAsia="zh-CN"/>
        </w:rPr>
        <w:t>1152</w:t>
      </w:r>
      <w:r>
        <w:rPr>
          <w:rFonts w:hint="eastAsia" w:ascii="仿宋_GB2312" w:hAnsi="仿宋_GB2312" w:eastAsia="仿宋_GB2312" w:cs="仿宋_GB2312"/>
          <w:color w:val="auto"/>
          <w:kern w:val="0"/>
          <w:sz w:val="32"/>
          <w:szCs w:val="32"/>
        </w:rPr>
        <w:t>人（含升入高等院校人数</w:t>
      </w:r>
      <w:r>
        <w:rPr>
          <w:rFonts w:hint="eastAsia" w:ascii="仿宋_GB2312" w:hAnsi="仿宋_GB2312" w:eastAsia="仿宋_GB2312" w:cs="仿宋_GB2312"/>
          <w:color w:val="auto"/>
          <w:kern w:val="0"/>
          <w:sz w:val="32"/>
          <w:szCs w:val="32"/>
          <w:lang w:val="en-US" w:eastAsia="zh-CN"/>
        </w:rPr>
        <w:t>1064</w:t>
      </w:r>
      <w:r>
        <w:rPr>
          <w:rFonts w:hint="eastAsia" w:ascii="仿宋_GB2312" w:hAnsi="仿宋_GB2312" w:eastAsia="仿宋_GB2312" w:cs="仿宋_GB2312"/>
          <w:color w:val="auto"/>
          <w:kern w:val="0"/>
          <w:sz w:val="32"/>
          <w:szCs w:val="32"/>
        </w:rPr>
        <w:t>人），初次就业率为</w:t>
      </w:r>
      <w:r>
        <w:rPr>
          <w:rFonts w:hint="eastAsia" w:ascii="仿宋_GB2312" w:hAnsi="仿宋_GB2312" w:eastAsia="仿宋_GB2312" w:cs="仿宋_GB2312"/>
          <w:color w:val="auto"/>
          <w:kern w:val="0"/>
          <w:sz w:val="32"/>
          <w:szCs w:val="32"/>
          <w:lang w:val="en-US" w:eastAsia="zh-CN"/>
        </w:rPr>
        <w:t>98.79</w:t>
      </w:r>
      <w:r>
        <w:rPr>
          <w:rFonts w:hint="eastAsia" w:ascii="仿宋_GB2312" w:hAnsi="仿宋_GB2312" w:eastAsia="仿宋_GB2312" w:cs="仿宋_GB2312"/>
          <w:color w:val="auto"/>
          <w:kern w:val="0"/>
          <w:sz w:val="32"/>
          <w:szCs w:val="32"/>
        </w:rPr>
        <w:t>%；对口</w:t>
      </w:r>
      <w:r>
        <w:rPr>
          <w:rFonts w:hint="eastAsia" w:ascii="仿宋_GB2312" w:hAnsi="仿宋_GB2312" w:eastAsia="仿宋_GB2312" w:cs="仿宋_GB2312"/>
          <w:color w:val="auto"/>
          <w:kern w:val="0"/>
          <w:sz w:val="32"/>
          <w:szCs w:val="32"/>
          <w:lang w:val="en-US" w:eastAsia="zh-CN"/>
        </w:rPr>
        <w:t>直接</w:t>
      </w:r>
      <w:r>
        <w:rPr>
          <w:rFonts w:hint="eastAsia" w:ascii="仿宋_GB2312" w:hAnsi="仿宋_GB2312" w:eastAsia="仿宋_GB2312" w:cs="仿宋_GB2312"/>
          <w:color w:val="auto"/>
          <w:kern w:val="0"/>
          <w:sz w:val="32"/>
          <w:szCs w:val="32"/>
        </w:rPr>
        <w:t>就业人数为</w:t>
      </w:r>
      <w:r>
        <w:rPr>
          <w:rFonts w:hint="eastAsia" w:ascii="仿宋_GB2312" w:hAnsi="仿宋_GB2312" w:eastAsia="仿宋_GB2312" w:cs="仿宋_GB2312"/>
          <w:color w:val="auto"/>
          <w:kern w:val="0"/>
          <w:sz w:val="32"/>
          <w:szCs w:val="32"/>
          <w:lang w:val="en-US" w:eastAsia="zh-CN"/>
        </w:rPr>
        <w:t>88</w:t>
      </w:r>
      <w:r>
        <w:rPr>
          <w:rFonts w:hint="eastAsia" w:ascii="仿宋_GB2312" w:hAnsi="仿宋_GB2312" w:eastAsia="仿宋_GB2312" w:cs="仿宋_GB2312"/>
          <w:color w:val="auto"/>
          <w:kern w:val="0"/>
          <w:sz w:val="32"/>
          <w:szCs w:val="32"/>
        </w:rPr>
        <w:t>人，</w:t>
      </w:r>
      <w:r>
        <w:rPr>
          <w:rFonts w:hint="eastAsia" w:ascii="仿宋_GB2312" w:hAnsi="仿宋_GB2312" w:eastAsia="仿宋_GB2312" w:cs="仿宋_GB2312"/>
          <w:color w:val="auto"/>
          <w:kern w:val="0"/>
          <w:sz w:val="32"/>
          <w:szCs w:val="32"/>
          <w:lang w:val="en-US" w:eastAsia="zh-CN"/>
        </w:rPr>
        <w:t>未就业人数14人</w:t>
      </w:r>
      <w:r>
        <w:rPr>
          <w:rFonts w:hint="eastAsia" w:ascii="仿宋_GB2312" w:hAnsi="仿宋_GB2312" w:eastAsia="仿宋_GB2312" w:cs="仿宋_GB2312"/>
          <w:color w:val="auto"/>
          <w:kern w:val="0"/>
          <w:sz w:val="32"/>
          <w:szCs w:val="32"/>
        </w:rPr>
        <w:t>。学生初次就业起薪平均2</w:t>
      </w:r>
      <w:r>
        <w:rPr>
          <w:rFonts w:hint="eastAsia" w:ascii="仿宋_GB2312" w:hAnsi="仿宋_GB2312" w:eastAsia="仿宋_GB2312" w:cs="仿宋_GB2312"/>
          <w:color w:val="auto"/>
          <w:kern w:val="0"/>
          <w:sz w:val="32"/>
          <w:szCs w:val="32"/>
          <w:lang w:val="en-US" w:eastAsia="zh-CN"/>
        </w:rPr>
        <w:t>300</w:t>
      </w:r>
      <w:r>
        <w:rPr>
          <w:rFonts w:hint="eastAsia" w:ascii="仿宋_GB2312" w:hAnsi="仿宋_GB2312" w:eastAsia="仿宋_GB2312" w:cs="仿宋_GB2312"/>
          <w:color w:val="auto"/>
          <w:kern w:val="0"/>
          <w:sz w:val="32"/>
          <w:szCs w:val="32"/>
        </w:rPr>
        <w:t>元，学生就业满意率达到</w:t>
      </w:r>
      <w:r>
        <w:rPr>
          <w:rFonts w:hint="eastAsia" w:ascii="仿宋_GB2312" w:hAnsi="仿宋_GB2312" w:eastAsia="仿宋_GB2312" w:cs="仿宋_GB2312"/>
          <w:color w:val="auto"/>
          <w:kern w:val="0"/>
          <w:sz w:val="32"/>
          <w:szCs w:val="32"/>
          <w:lang w:val="en-US" w:eastAsia="zh-CN"/>
        </w:rPr>
        <w:t>90</w:t>
      </w:r>
      <w:r>
        <w:rPr>
          <w:rFonts w:hint="eastAsia" w:ascii="仿宋_GB2312" w:hAnsi="仿宋_GB2312" w:eastAsia="仿宋_GB2312" w:cs="仿宋_GB2312"/>
          <w:color w:val="auto"/>
          <w:kern w:val="0"/>
          <w:sz w:val="32"/>
          <w:szCs w:val="32"/>
        </w:rPr>
        <w:t>%。</w:t>
      </w:r>
    </w:p>
    <w:p>
      <w:pPr>
        <w:pStyle w:val="3"/>
        <w:bidi w:val="0"/>
        <w:jc w:val="center"/>
        <w:rPr>
          <w:rFonts w:hint="eastAsia"/>
        </w:rPr>
      </w:pPr>
      <w:bookmarkStart w:id="42" w:name="_Toc10164"/>
      <w:r>
        <w:rPr>
          <w:rFonts w:hint="eastAsia"/>
          <w:lang w:val="en-US" w:eastAsia="zh-CN"/>
        </w:rPr>
        <w:t xml:space="preserve">表1-5： </w:t>
      </w:r>
      <w:r>
        <w:rPr>
          <w:rFonts w:hint="eastAsia"/>
        </w:rPr>
        <w:t>20</w:t>
      </w:r>
      <w:r>
        <w:rPr>
          <w:rFonts w:hint="eastAsia"/>
          <w:lang w:val="en-US" w:eastAsia="zh-CN"/>
        </w:rPr>
        <w:t>23</w:t>
      </w:r>
      <w:r>
        <w:rPr>
          <w:rFonts w:hint="eastAsia"/>
        </w:rPr>
        <w:t>年毕业生就业情况统计一览表</w:t>
      </w:r>
      <w:bookmarkEnd w:id="42"/>
    </w:p>
    <w:tbl>
      <w:tblPr>
        <w:tblStyle w:val="14"/>
        <w:tblW w:w="9079"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2194"/>
        <w:gridCol w:w="1260"/>
        <w:gridCol w:w="1635"/>
        <w:gridCol w:w="1575"/>
        <w:gridCol w:w="1065"/>
        <w:gridCol w:w="135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07" w:hRule="atLeast"/>
          <w:jc w:val="center"/>
        </w:trPr>
        <w:tc>
          <w:tcPr>
            <w:tcW w:w="2194"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kinsoku/>
              <w:wordWrap/>
              <w:overflowPunct/>
              <w:topLinePunct w:val="0"/>
              <w:autoSpaceDE/>
              <w:autoSpaceDN/>
              <w:bidi w:val="0"/>
              <w:adjustRightInd/>
              <w:spacing w:line="240" w:lineRule="auto"/>
              <w:jc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color w:val="auto"/>
                <w:kern w:val="0"/>
                <w:sz w:val="32"/>
                <w:szCs w:val="32"/>
              </w:rPr>
              <w:t>专业名称</w:t>
            </w:r>
          </w:p>
        </w:tc>
        <w:tc>
          <w:tcPr>
            <w:tcW w:w="126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bCs/>
                <w:i w:val="0"/>
                <w:iCs w:val="0"/>
                <w:color w:val="auto"/>
                <w:kern w:val="0"/>
                <w:sz w:val="32"/>
                <w:szCs w:val="32"/>
                <w:u w:val="none"/>
                <w:lang w:val="en-US" w:eastAsia="zh-CN" w:bidi="ar"/>
              </w:rPr>
              <w:t>毕业生数</w:t>
            </w:r>
          </w:p>
        </w:tc>
        <w:tc>
          <w:tcPr>
            <w:tcW w:w="163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bCs/>
                <w:i w:val="0"/>
                <w:iCs w:val="0"/>
                <w:color w:val="auto"/>
                <w:kern w:val="0"/>
                <w:sz w:val="32"/>
                <w:szCs w:val="32"/>
                <w:u w:val="none"/>
                <w:lang w:val="en-US" w:eastAsia="zh-CN" w:bidi="ar"/>
              </w:rPr>
              <w:t>直接就业人数</w:t>
            </w:r>
          </w:p>
        </w:tc>
        <w:tc>
          <w:tcPr>
            <w:tcW w:w="157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bCs/>
                <w:i w:val="0"/>
                <w:iCs w:val="0"/>
                <w:color w:val="auto"/>
                <w:kern w:val="0"/>
                <w:sz w:val="32"/>
                <w:szCs w:val="32"/>
                <w:u w:val="none"/>
                <w:lang w:val="en-US" w:eastAsia="zh-CN" w:bidi="ar"/>
              </w:rPr>
              <w:t>对口就业人数</w:t>
            </w:r>
          </w:p>
        </w:tc>
        <w:tc>
          <w:tcPr>
            <w:tcW w:w="106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color w:val="auto"/>
                <w:kern w:val="0"/>
                <w:sz w:val="32"/>
                <w:szCs w:val="32"/>
              </w:rPr>
            </w:pPr>
            <w:r>
              <w:rPr>
                <w:rFonts w:hint="eastAsia" w:ascii="仿宋_GB2312" w:hAnsi="仿宋_GB2312" w:eastAsia="仿宋_GB2312" w:cs="仿宋_GB2312"/>
                <w:b/>
                <w:bCs/>
                <w:i w:val="0"/>
                <w:iCs w:val="0"/>
                <w:color w:val="auto"/>
                <w:kern w:val="0"/>
                <w:sz w:val="32"/>
                <w:szCs w:val="32"/>
                <w:u w:val="none"/>
                <w:lang w:val="en-US" w:eastAsia="zh-CN" w:bidi="ar"/>
              </w:rPr>
              <w:t>升学人数</w:t>
            </w:r>
          </w:p>
        </w:tc>
        <w:tc>
          <w:tcPr>
            <w:tcW w:w="135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b/>
                <w:color w:val="auto"/>
                <w:kern w:val="0"/>
                <w:sz w:val="32"/>
                <w:szCs w:val="32"/>
                <w:lang w:val="en-US" w:eastAsia="zh-CN"/>
              </w:rPr>
            </w:pPr>
            <w:r>
              <w:rPr>
                <w:rFonts w:hint="eastAsia" w:ascii="仿宋_GB2312" w:hAnsi="仿宋_GB2312" w:eastAsia="仿宋_GB2312" w:cs="仿宋_GB2312"/>
                <w:b/>
                <w:bCs/>
                <w:i w:val="0"/>
                <w:iCs w:val="0"/>
                <w:color w:val="auto"/>
                <w:kern w:val="0"/>
                <w:sz w:val="32"/>
                <w:szCs w:val="32"/>
                <w:u w:val="none"/>
                <w:lang w:val="en-US" w:eastAsia="zh-CN" w:bidi="ar"/>
              </w:rPr>
              <w:t>未就业人数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2194"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计算机应用</w:t>
            </w:r>
          </w:p>
        </w:tc>
        <w:tc>
          <w:tcPr>
            <w:tcW w:w="126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355</w:t>
            </w:r>
          </w:p>
        </w:tc>
        <w:tc>
          <w:tcPr>
            <w:tcW w:w="163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3</w:t>
            </w:r>
          </w:p>
        </w:tc>
        <w:tc>
          <w:tcPr>
            <w:tcW w:w="157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i w:val="0"/>
                <w:iCs w:val="0"/>
                <w:color w:val="auto"/>
                <w:kern w:val="0"/>
                <w:sz w:val="32"/>
                <w:szCs w:val="32"/>
                <w:u w:val="none"/>
                <w:lang w:val="en-US" w:eastAsia="zh-CN" w:bidi="ar"/>
              </w:rPr>
              <w:t>3</w:t>
            </w:r>
          </w:p>
        </w:tc>
        <w:tc>
          <w:tcPr>
            <w:tcW w:w="106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350</w:t>
            </w:r>
          </w:p>
        </w:tc>
        <w:tc>
          <w:tcPr>
            <w:tcW w:w="135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2194"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机电技术应用</w:t>
            </w:r>
          </w:p>
        </w:tc>
        <w:tc>
          <w:tcPr>
            <w:tcW w:w="126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294</w:t>
            </w:r>
          </w:p>
        </w:tc>
        <w:tc>
          <w:tcPr>
            <w:tcW w:w="163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30</w:t>
            </w:r>
          </w:p>
        </w:tc>
        <w:tc>
          <w:tcPr>
            <w:tcW w:w="157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30</w:t>
            </w:r>
          </w:p>
        </w:tc>
        <w:tc>
          <w:tcPr>
            <w:tcW w:w="106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263</w:t>
            </w:r>
          </w:p>
        </w:tc>
        <w:tc>
          <w:tcPr>
            <w:tcW w:w="135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1</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2194"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汽车运用与维修</w:t>
            </w:r>
          </w:p>
        </w:tc>
        <w:tc>
          <w:tcPr>
            <w:tcW w:w="126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117</w:t>
            </w:r>
          </w:p>
        </w:tc>
        <w:tc>
          <w:tcPr>
            <w:tcW w:w="163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17</w:t>
            </w:r>
          </w:p>
        </w:tc>
        <w:tc>
          <w:tcPr>
            <w:tcW w:w="157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i w:val="0"/>
                <w:iCs w:val="0"/>
                <w:color w:val="auto"/>
                <w:kern w:val="0"/>
                <w:sz w:val="32"/>
                <w:szCs w:val="32"/>
                <w:u w:val="none"/>
                <w:lang w:val="en-US" w:eastAsia="zh-CN" w:bidi="ar"/>
              </w:rPr>
              <w:t>17</w:t>
            </w:r>
          </w:p>
        </w:tc>
        <w:tc>
          <w:tcPr>
            <w:tcW w:w="106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i w:val="0"/>
                <w:iCs w:val="0"/>
                <w:color w:val="auto"/>
                <w:kern w:val="0"/>
                <w:sz w:val="32"/>
                <w:szCs w:val="32"/>
                <w:u w:val="none"/>
                <w:lang w:val="en-US" w:eastAsia="zh-CN" w:bidi="ar"/>
              </w:rPr>
              <w:t>99</w:t>
            </w:r>
          </w:p>
        </w:tc>
        <w:tc>
          <w:tcPr>
            <w:tcW w:w="135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i w:val="0"/>
                <w:iCs w:val="0"/>
                <w:color w:val="auto"/>
                <w:kern w:val="0"/>
                <w:sz w:val="32"/>
                <w:szCs w:val="32"/>
                <w:u w:val="none"/>
                <w:lang w:val="en-US" w:eastAsia="zh-CN" w:bidi="ar"/>
              </w:rPr>
              <w:t>1</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2194"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学前教育</w:t>
            </w:r>
          </w:p>
        </w:tc>
        <w:tc>
          <w:tcPr>
            <w:tcW w:w="126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105</w:t>
            </w:r>
          </w:p>
        </w:tc>
        <w:tc>
          <w:tcPr>
            <w:tcW w:w="163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23</w:t>
            </w:r>
          </w:p>
        </w:tc>
        <w:tc>
          <w:tcPr>
            <w:tcW w:w="157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23</w:t>
            </w:r>
          </w:p>
        </w:tc>
        <w:tc>
          <w:tcPr>
            <w:tcW w:w="106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82</w:t>
            </w:r>
          </w:p>
        </w:tc>
        <w:tc>
          <w:tcPr>
            <w:tcW w:w="135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2194"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旅游服务与管理</w:t>
            </w:r>
          </w:p>
        </w:tc>
        <w:tc>
          <w:tcPr>
            <w:tcW w:w="126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119</w:t>
            </w:r>
          </w:p>
        </w:tc>
        <w:tc>
          <w:tcPr>
            <w:tcW w:w="163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13</w:t>
            </w:r>
          </w:p>
        </w:tc>
        <w:tc>
          <w:tcPr>
            <w:tcW w:w="157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13</w:t>
            </w:r>
          </w:p>
        </w:tc>
        <w:tc>
          <w:tcPr>
            <w:tcW w:w="106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106</w:t>
            </w:r>
          </w:p>
        </w:tc>
        <w:tc>
          <w:tcPr>
            <w:tcW w:w="135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i w:val="0"/>
                <w:iCs w:val="0"/>
                <w:color w:val="auto"/>
                <w:kern w:val="0"/>
                <w:sz w:val="32"/>
                <w:szCs w:val="32"/>
                <w:u w:val="none"/>
                <w:lang w:val="en-US" w:eastAsia="zh-CN" w:bidi="ar"/>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2194"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园林绿化</w:t>
            </w:r>
          </w:p>
        </w:tc>
        <w:tc>
          <w:tcPr>
            <w:tcW w:w="126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39</w:t>
            </w:r>
          </w:p>
        </w:tc>
        <w:tc>
          <w:tcPr>
            <w:tcW w:w="163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i w:val="0"/>
                <w:iCs w:val="0"/>
                <w:color w:val="auto"/>
                <w:kern w:val="0"/>
                <w:sz w:val="32"/>
                <w:szCs w:val="32"/>
                <w:u w:val="none"/>
                <w:lang w:val="en-US" w:eastAsia="zh-CN" w:bidi="ar"/>
              </w:rPr>
              <w:t>0</w:t>
            </w:r>
          </w:p>
        </w:tc>
        <w:tc>
          <w:tcPr>
            <w:tcW w:w="157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i w:val="0"/>
                <w:iCs w:val="0"/>
                <w:color w:val="auto"/>
                <w:kern w:val="0"/>
                <w:sz w:val="32"/>
                <w:szCs w:val="32"/>
                <w:u w:val="none"/>
                <w:lang w:val="en-US" w:eastAsia="zh-CN" w:bidi="ar"/>
              </w:rPr>
              <w:t>0</w:t>
            </w:r>
          </w:p>
        </w:tc>
        <w:tc>
          <w:tcPr>
            <w:tcW w:w="106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39</w:t>
            </w:r>
          </w:p>
        </w:tc>
        <w:tc>
          <w:tcPr>
            <w:tcW w:w="135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i w:val="0"/>
                <w:iCs w:val="0"/>
                <w:color w:val="auto"/>
                <w:kern w:val="0"/>
                <w:sz w:val="32"/>
                <w:szCs w:val="32"/>
                <w:u w:val="none"/>
                <w:lang w:val="en-US" w:eastAsia="zh-CN" w:bidi="ar"/>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2194"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电子商务</w:t>
            </w:r>
          </w:p>
        </w:tc>
        <w:tc>
          <w:tcPr>
            <w:tcW w:w="126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137</w:t>
            </w:r>
          </w:p>
        </w:tc>
        <w:tc>
          <w:tcPr>
            <w:tcW w:w="163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i w:val="0"/>
                <w:iCs w:val="0"/>
                <w:color w:val="auto"/>
                <w:kern w:val="0"/>
                <w:sz w:val="32"/>
                <w:szCs w:val="32"/>
                <w:u w:val="none"/>
                <w:lang w:val="en-US" w:eastAsia="zh-CN" w:bidi="ar"/>
              </w:rPr>
              <w:t>2</w:t>
            </w:r>
          </w:p>
        </w:tc>
        <w:tc>
          <w:tcPr>
            <w:tcW w:w="157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i w:val="0"/>
                <w:iCs w:val="0"/>
                <w:color w:val="auto"/>
                <w:kern w:val="0"/>
                <w:sz w:val="32"/>
                <w:szCs w:val="32"/>
                <w:u w:val="none"/>
                <w:lang w:val="en-US" w:eastAsia="zh-CN" w:bidi="ar"/>
              </w:rPr>
              <w:t>2</w:t>
            </w:r>
          </w:p>
        </w:tc>
        <w:tc>
          <w:tcPr>
            <w:tcW w:w="106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125</w:t>
            </w:r>
          </w:p>
        </w:tc>
        <w:tc>
          <w:tcPr>
            <w:tcW w:w="135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rPr>
            </w:pPr>
            <w:r>
              <w:rPr>
                <w:rFonts w:hint="eastAsia" w:ascii="仿宋_GB2312" w:hAnsi="仿宋_GB2312" w:eastAsia="仿宋_GB2312" w:cs="仿宋_GB2312"/>
                <w:i w:val="0"/>
                <w:iCs w:val="0"/>
                <w:color w:val="auto"/>
                <w:kern w:val="0"/>
                <w:sz w:val="32"/>
                <w:szCs w:val="32"/>
                <w:u w:val="none"/>
                <w:lang w:val="en-US" w:eastAsia="zh-CN" w:bidi="ar"/>
              </w:rPr>
              <w:t>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2194" w:type="dxa"/>
            <w:tcBorders>
              <w:top w:val="outset" w:color="000000" w:sz="6" w:space="0"/>
              <w:left w:val="outset" w:color="000000" w:sz="6" w:space="0"/>
              <w:bottom w:val="outset" w:color="000000" w:sz="6" w:space="0"/>
              <w:right w:val="outset" w:color="000000" w:sz="6" w:space="0"/>
            </w:tcBorders>
            <w:noWrap w:val="0"/>
            <w:vAlign w:val="center"/>
          </w:tcPr>
          <w:p>
            <w:pPr>
              <w:pageBreakBefore w:val="0"/>
              <w:widowControl/>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合计</w:t>
            </w:r>
          </w:p>
        </w:tc>
        <w:tc>
          <w:tcPr>
            <w:tcW w:w="126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1166</w:t>
            </w:r>
          </w:p>
        </w:tc>
        <w:tc>
          <w:tcPr>
            <w:tcW w:w="163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88</w:t>
            </w:r>
          </w:p>
        </w:tc>
        <w:tc>
          <w:tcPr>
            <w:tcW w:w="157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88</w:t>
            </w:r>
          </w:p>
        </w:tc>
        <w:tc>
          <w:tcPr>
            <w:tcW w:w="1065"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1064</w:t>
            </w:r>
          </w:p>
        </w:tc>
        <w:tc>
          <w:tcPr>
            <w:tcW w:w="1350" w:type="dxa"/>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14</w:t>
            </w:r>
          </w:p>
        </w:tc>
      </w:tr>
    </w:tbl>
    <w:p>
      <w:pPr>
        <w:keepNext w:val="0"/>
        <w:keepLines w:val="0"/>
        <w:pageBreakBefore w:val="0"/>
        <w:widowControl/>
        <w:suppressLineNumbers w:val="0"/>
        <w:kinsoku/>
        <w:wordWrap/>
        <w:overflowPunct/>
        <w:topLinePunct w:val="0"/>
        <w:autoSpaceDE/>
        <w:autoSpaceDN/>
        <w:bidi w:val="0"/>
        <w:adjustRightInd/>
        <w:spacing w:line="240" w:lineRule="auto"/>
        <w:jc w:val="left"/>
        <w:rPr>
          <w:rFonts w:hint="eastAsia" w:ascii="仿宋_GB2312" w:hAnsi="仿宋_GB2312" w:eastAsia="仿宋_GB2312" w:cs="仿宋_GB2312"/>
          <w:b w:val="0"/>
          <w:bCs w:val="0"/>
          <w:color w:val="auto"/>
          <w:kern w:val="0"/>
          <w:sz w:val="32"/>
          <w:szCs w:val="32"/>
          <w:lang w:val="en-US" w:eastAsia="zh-CN" w:bidi="ar"/>
        </w:rPr>
      </w:pPr>
    </w:p>
    <w:bookmarkEnd w:id="40"/>
    <w:bookmarkEnd w:id="41"/>
    <w:p>
      <w:pPr>
        <w:pageBreakBefore w:val="0"/>
        <w:numPr>
          <w:ilvl w:val="0"/>
          <w:numId w:val="0"/>
        </w:numPr>
        <w:kinsoku/>
        <w:wordWrap/>
        <w:overflowPunct/>
        <w:topLinePunct w:val="0"/>
        <w:autoSpaceDE/>
        <w:autoSpaceDN/>
        <w:bidi w:val="0"/>
        <w:adjustRightInd/>
        <w:spacing w:line="240" w:lineRule="auto"/>
        <w:ind w:firstLine="643" w:firstLineChars="200"/>
        <w:outlineLvl w:val="0"/>
        <w:rPr>
          <w:rFonts w:hint="eastAsia" w:ascii="仿宋_GB2312" w:hAnsi="仿宋_GB2312" w:eastAsia="仿宋_GB2312" w:cs="仿宋_GB2312"/>
          <w:b/>
          <w:bCs/>
          <w:color w:val="auto"/>
          <w:sz w:val="32"/>
          <w:szCs w:val="32"/>
          <w:lang w:val="en-US" w:eastAsia="zh-CN"/>
        </w:rPr>
      </w:pPr>
      <w:bookmarkStart w:id="43" w:name="_Toc25625"/>
      <w:r>
        <w:rPr>
          <w:rFonts w:hint="eastAsia" w:ascii="仿宋_GB2312" w:hAnsi="仿宋_GB2312" w:eastAsia="仿宋_GB2312" w:cs="仿宋_GB2312"/>
          <w:b/>
          <w:bCs/>
          <w:color w:val="auto"/>
          <w:sz w:val="32"/>
          <w:szCs w:val="32"/>
          <w:lang w:val="en-US" w:eastAsia="zh-CN"/>
        </w:rPr>
        <w:t>2.服务贡献</w:t>
      </w:r>
      <w:bookmarkEnd w:id="43"/>
    </w:p>
    <w:p>
      <w:pPr>
        <w:pageBreakBefore w:val="0"/>
        <w:numPr>
          <w:ilvl w:val="0"/>
          <w:numId w:val="0"/>
        </w:numPr>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lang w:val="en-US" w:eastAsia="zh-CN"/>
        </w:rPr>
      </w:pPr>
      <w:bookmarkStart w:id="44" w:name="_Toc5162"/>
      <w:r>
        <w:rPr>
          <w:rFonts w:hint="eastAsia" w:ascii="仿宋_GB2312" w:hAnsi="仿宋_GB2312" w:eastAsia="仿宋_GB2312" w:cs="仿宋_GB2312"/>
          <w:b/>
          <w:bCs/>
          <w:color w:val="auto"/>
          <w:sz w:val="32"/>
          <w:szCs w:val="32"/>
          <w:lang w:val="en-US" w:eastAsia="zh-CN"/>
        </w:rPr>
        <w:t>2.1服务产业发展</w:t>
      </w:r>
      <w:bookmarkEnd w:id="44"/>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bidi="ar"/>
        </w:rPr>
        <w:t>学校牢固树立全方位服务社会的理念，充分把握职业教育服务地方经济和产业的职业教育观，瞄准市场人才需求，依托专业优势，着力开展产教融合、校企合作， 直接服务地方经济社会发展。2022-2023学年，学校毕业生 1166 人，其中直接就业88人，就业去向主要是第二产业，为天津市制造业发展提供了人才支撑。</w:t>
      </w:r>
    </w:p>
    <w:p>
      <w:pPr>
        <w:pageBreakBefore w:val="0"/>
        <w:numPr>
          <w:ilvl w:val="0"/>
          <w:numId w:val="0"/>
        </w:numPr>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lang w:val="en-US" w:eastAsia="zh-CN"/>
        </w:rPr>
      </w:pPr>
      <w:bookmarkStart w:id="45" w:name="_Toc12842"/>
      <w:r>
        <w:rPr>
          <w:rFonts w:hint="eastAsia" w:ascii="仿宋_GB2312" w:hAnsi="仿宋_GB2312" w:eastAsia="仿宋_GB2312" w:cs="仿宋_GB2312"/>
          <w:b/>
          <w:bCs/>
          <w:color w:val="auto"/>
          <w:sz w:val="32"/>
          <w:szCs w:val="32"/>
          <w:lang w:val="en-US" w:eastAsia="zh-CN"/>
        </w:rPr>
        <w:t>2.2服务国家战略</w:t>
      </w:r>
      <w:bookmarkEnd w:id="45"/>
    </w:p>
    <w:p>
      <w:pPr>
        <w:pageBreakBefore w:val="0"/>
        <w:numPr>
          <w:ilvl w:val="0"/>
          <w:numId w:val="0"/>
        </w:numPr>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2.2.1服务协作帮扶</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学校积极投身脱贫攻坚战，在驻东辛屯精准扶贫工作中，学校党委组织全体党员共同参与，围绕“四清、五助、六送”主要活动任务，积极开展工作。通过组织各支部对口帮扶下仓镇东辛屯村的六个困难家庭，加强乡村振兴建设。在东西部帮扶中学校通过开展规章制度、学生管理、教育教学管理以及接收挂职干部等方式，扎实做好甘肃天祝职</w:t>
      </w:r>
      <w:r>
        <w:rPr>
          <w:rFonts w:hint="eastAsia" w:ascii="仿宋_GB2312" w:hAnsi="仿宋_GB2312" w:eastAsia="仿宋_GB2312" w:cs="仿宋_GB2312"/>
          <w:color w:val="auto"/>
          <w:sz w:val="32"/>
          <w:szCs w:val="32"/>
          <w:lang w:val="en-US" w:eastAsia="zh-CN"/>
        </w:rPr>
        <w:t>专</w:t>
      </w:r>
      <w:r>
        <w:rPr>
          <w:rFonts w:hint="eastAsia" w:ascii="仿宋_GB2312" w:hAnsi="仿宋_GB2312" w:eastAsia="仿宋_GB2312" w:cs="仿宋_GB2312"/>
          <w:color w:val="auto"/>
          <w:sz w:val="32"/>
          <w:szCs w:val="32"/>
        </w:rPr>
        <w:t>、古浪职</w:t>
      </w:r>
      <w:r>
        <w:rPr>
          <w:rFonts w:hint="eastAsia" w:ascii="仿宋_GB2312" w:hAnsi="仿宋_GB2312" w:eastAsia="仿宋_GB2312" w:cs="仿宋_GB2312"/>
          <w:color w:val="auto"/>
          <w:sz w:val="32"/>
          <w:szCs w:val="32"/>
          <w:lang w:val="en-US" w:eastAsia="zh-CN"/>
        </w:rPr>
        <w:t>专两</w:t>
      </w:r>
      <w:r>
        <w:rPr>
          <w:rFonts w:hint="eastAsia" w:ascii="仿宋_GB2312" w:hAnsi="仿宋_GB2312" w:eastAsia="仿宋_GB2312" w:cs="仿宋_GB2312"/>
          <w:color w:val="auto"/>
          <w:sz w:val="32"/>
          <w:szCs w:val="32"/>
        </w:rPr>
        <w:t>所学校的对口帮扶工作。接收古浪县职</w:t>
      </w:r>
      <w:r>
        <w:rPr>
          <w:rFonts w:hint="eastAsia" w:ascii="仿宋_GB2312" w:hAnsi="仿宋_GB2312" w:eastAsia="仿宋_GB2312" w:cs="仿宋_GB2312"/>
          <w:color w:val="auto"/>
          <w:sz w:val="32"/>
          <w:szCs w:val="32"/>
          <w:lang w:val="en-US" w:eastAsia="zh-CN"/>
        </w:rPr>
        <w:t>专马德莹</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包倩两位老师来校交流锻炼，接收</w:t>
      </w:r>
      <w:r>
        <w:rPr>
          <w:rFonts w:hint="eastAsia" w:ascii="仿宋_GB2312" w:hAnsi="仿宋_GB2312" w:eastAsia="仿宋_GB2312" w:cs="仿宋_GB2312"/>
          <w:color w:val="auto"/>
          <w:sz w:val="32"/>
          <w:szCs w:val="32"/>
        </w:rPr>
        <w:t>天祝藏族自治县职</w:t>
      </w:r>
      <w:r>
        <w:rPr>
          <w:rFonts w:hint="eastAsia" w:ascii="仿宋_GB2312" w:hAnsi="仿宋_GB2312" w:eastAsia="仿宋_GB2312" w:cs="仿宋_GB2312"/>
          <w:color w:val="auto"/>
          <w:sz w:val="32"/>
          <w:szCs w:val="32"/>
          <w:lang w:val="en-US" w:eastAsia="zh-CN"/>
        </w:rPr>
        <w:t>专教务处主任火林三、招生就业班主任苏国兴挂职交流</w:t>
      </w:r>
      <w:r>
        <w:rPr>
          <w:rFonts w:hint="eastAsia" w:ascii="仿宋_GB2312" w:hAnsi="仿宋_GB2312" w:eastAsia="仿宋_GB2312" w:cs="仿宋_GB2312"/>
          <w:color w:val="auto"/>
          <w:sz w:val="32"/>
          <w:szCs w:val="32"/>
        </w:rPr>
        <w:t>锻炼。</w:t>
      </w:r>
      <w:r>
        <w:rPr>
          <w:rFonts w:hint="eastAsia" w:ascii="仿宋_GB2312" w:hAnsi="仿宋_GB2312" w:eastAsia="仿宋_GB2312" w:cs="仿宋_GB2312"/>
          <w:color w:val="auto"/>
          <w:sz w:val="32"/>
          <w:szCs w:val="32"/>
          <w:lang w:val="en-US" w:eastAsia="zh-CN"/>
        </w:rPr>
        <w:t>天津市信息工程学校派出李桂梅老师到古浪县职专交流锻炼。</w:t>
      </w:r>
    </w:p>
    <w:p>
      <w:pPr>
        <w:pageBreakBefore w:val="0"/>
        <w:numPr>
          <w:ilvl w:val="0"/>
          <w:numId w:val="0"/>
        </w:numPr>
        <w:kinsoku/>
        <w:wordWrap/>
        <w:overflowPunct/>
        <w:topLinePunct w:val="0"/>
        <w:autoSpaceDE/>
        <w:autoSpaceDN/>
        <w:bidi w:val="0"/>
        <w:adjustRightInd/>
        <w:spacing w:line="240" w:lineRule="auto"/>
        <w:rPr>
          <w:rFonts w:hint="eastAsia" w:ascii="仿宋_GB2312" w:hAnsi="仿宋_GB2312" w:eastAsia="仿宋_GB2312" w:cs="仿宋_GB2312"/>
          <w:color w:val="auto"/>
          <w:sz w:val="32"/>
          <w:szCs w:val="32"/>
          <w:lang w:val="en-US" w:eastAsia="zh-CN"/>
        </w:rPr>
      </w:pPr>
    </w:p>
    <w:p>
      <w:pPr>
        <w:pageBreakBefore w:val="0"/>
        <w:numPr>
          <w:ilvl w:val="0"/>
          <w:numId w:val="0"/>
        </w:numPr>
        <w:kinsoku/>
        <w:wordWrap/>
        <w:overflowPunct/>
        <w:topLinePunct w:val="0"/>
        <w:autoSpaceDE/>
        <w:autoSpaceDN/>
        <w:bidi w:val="0"/>
        <w:adjustRightInd/>
        <w:spacing w:line="240" w:lineRule="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436870" cy="3091815"/>
            <wp:effectExtent l="0" t="0" r="11430" b="13335"/>
            <wp:docPr id="3" name="图片 3" descr="2ca206a665ee5303b19821ef1a98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ca206a665ee5303b19821ef1a981b4"/>
                    <pic:cNvPicPr>
                      <a:picLocks noChangeAspect="1"/>
                    </pic:cNvPicPr>
                  </pic:nvPicPr>
                  <pic:blipFill>
                    <a:blip r:embed="rId45"/>
                    <a:stretch>
                      <a:fillRect/>
                    </a:stretch>
                  </pic:blipFill>
                  <pic:spPr>
                    <a:xfrm>
                      <a:off x="0" y="0"/>
                      <a:ext cx="5436870" cy="3091815"/>
                    </a:xfrm>
                    <a:prstGeom prst="rect">
                      <a:avLst/>
                    </a:prstGeom>
                  </pic:spPr>
                </pic:pic>
              </a:graphicData>
            </a:graphic>
          </wp:inline>
        </w:drawing>
      </w:r>
    </w:p>
    <w:p>
      <w:pPr>
        <w:pStyle w:val="6"/>
        <w:bidi w:val="0"/>
        <w:ind w:firstLine="1050" w:firstLineChars="500"/>
        <w:rPr>
          <w:rFonts w:hint="eastAsia"/>
          <w:lang w:val="en-US" w:eastAsia="zh-CN"/>
        </w:rPr>
      </w:pPr>
      <w:r>
        <w:rPr>
          <w:rFonts w:hint="eastAsia"/>
          <w:lang w:val="en-US" w:eastAsia="zh-CN"/>
        </w:rPr>
        <w:t>图2-1：天祝县职专火林三主任在校汽修车间与老师交流实训业务</w:t>
      </w:r>
    </w:p>
    <w:p>
      <w:pPr>
        <w:pageBreakBefore w:val="0"/>
        <w:numPr>
          <w:ilvl w:val="0"/>
          <w:numId w:val="0"/>
        </w:numPr>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2.2.2服务乡村振兴</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240" w:lineRule="auto"/>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lang w:val="en-US" w:eastAsia="zh-CN"/>
        </w:rPr>
        <w:t>天津市信息工程学校</w:t>
      </w:r>
      <w:r>
        <w:rPr>
          <w:rFonts w:hint="eastAsia" w:ascii="仿宋_GB2312" w:hAnsi="仿宋_GB2312" w:eastAsia="仿宋_GB2312" w:cs="仿宋_GB2312"/>
          <w:i w:val="0"/>
          <w:iCs w:val="0"/>
          <w:caps w:val="0"/>
          <w:color w:val="auto"/>
          <w:spacing w:val="0"/>
          <w:sz w:val="32"/>
          <w:szCs w:val="32"/>
          <w:shd w:val="clear" w:fill="FFFFFF"/>
        </w:rPr>
        <w:t>牢牢抓住服务乡村振兴载体，建立适应各种涉农培训需求的</w:t>
      </w:r>
      <w:r>
        <w:rPr>
          <w:rFonts w:hint="eastAsia" w:ascii="仿宋_GB2312" w:hAnsi="仿宋_GB2312" w:eastAsia="仿宋_GB2312" w:cs="仿宋_GB2312"/>
          <w:i w:val="0"/>
          <w:iCs w:val="0"/>
          <w:caps w:val="0"/>
          <w:color w:val="auto"/>
          <w:spacing w:val="0"/>
          <w:sz w:val="32"/>
          <w:szCs w:val="32"/>
          <w:shd w:val="clear" w:fill="FFFFFF"/>
          <w:lang w:val="en-US" w:eastAsia="zh-CN"/>
        </w:rPr>
        <w:t>短期培训</w:t>
      </w:r>
      <w:r>
        <w:rPr>
          <w:rFonts w:hint="eastAsia" w:ascii="仿宋_GB2312" w:hAnsi="仿宋_GB2312" w:eastAsia="仿宋_GB2312" w:cs="仿宋_GB2312"/>
          <w:i w:val="0"/>
          <w:iCs w:val="0"/>
          <w:caps w:val="0"/>
          <w:color w:val="auto"/>
          <w:spacing w:val="0"/>
          <w:sz w:val="32"/>
          <w:szCs w:val="32"/>
          <w:shd w:val="clear" w:fill="FFFFFF"/>
        </w:rPr>
        <w:t>，更好服务于乡村建设体系。主动面向农村，主动对接农业现代化需求，建设好职业教育示范特色专业及实训基地，与乡村建立长期的合作机制，将产、教、研深度融合。充分挖掘</w:t>
      </w:r>
      <w:r>
        <w:rPr>
          <w:rFonts w:hint="eastAsia" w:ascii="仿宋_GB2312" w:hAnsi="仿宋_GB2312" w:eastAsia="仿宋_GB2312" w:cs="仿宋_GB2312"/>
          <w:i w:val="0"/>
          <w:iCs w:val="0"/>
          <w:caps w:val="0"/>
          <w:color w:val="auto"/>
          <w:spacing w:val="0"/>
          <w:sz w:val="32"/>
          <w:szCs w:val="32"/>
          <w:shd w:val="clear" w:fill="FFFFFF"/>
          <w:lang w:val="en-US" w:eastAsia="zh-CN"/>
        </w:rPr>
        <w:t>地方</w:t>
      </w:r>
      <w:r>
        <w:rPr>
          <w:rFonts w:hint="eastAsia" w:ascii="仿宋_GB2312" w:hAnsi="仿宋_GB2312" w:eastAsia="仿宋_GB2312" w:cs="仿宋_GB2312"/>
          <w:i w:val="0"/>
          <w:iCs w:val="0"/>
          <w:caps w:val="0"/>
          <w:color w:val="auto"/>
          <w:spacing w:val="0"/>
          <w:sz w:val="32"/>
          <w:szCs w:val="32"/>
          <w:shd w:val="clear" w:fill="FFFFFF"/>
        </w:rPr>
        <w:t>文化、旅游文化，探索新型校企合作模式，助力乡村打造特色文化品牌。利用当地能人、模范先锋、镇村干部等群体，为学生传授技能、宣讲身边故事，引导学生树立服务乡村振兴的志向</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为乡村振兴储备人才和输送人才。</w:t>
      </w:r>
      <w:r>
        <w:rPr>
          <w:rFonts w:hint="eastAsia" w:ascii="仿宋_GB2312" w:hAnsi="仿宋_GB2312" w:eastAsia="仿宋_GB2312" w:cs="仿宋_GB2312"/>
          <w:i w:val="0"/>
          <w:iCs w:val="0"/>
          <w:caps w:val="0"/>
          <w:color w:val="auto"/>
          <w:spacing w:val="0"/>
          <w:sz w:val="32"/>
          <w:szCs w:val="32"/>
          <w:shd w:val="clear" w:fill="FFFFFF"/>
          <w:lang w:val="en-US" w:eastAsia="zh-CN"/>
        </w:rPr>
        <w:t>学校</w:t>
      </w:r>
      <w:r>
        <w:rPr>
          <w:rFonts w:hint="eastAsia" w:ascii="仿宋_GB2312" w:hAnsi="仿宋_GB2312" w:eastAsia="仿宋_GB2312" w:cs="仿宋_GB2312"/>
          <w:i w:val="0"/>
          <w:iCs w:val="0"/>
          <w:caps w:val="0"/>
          <w:color w:val="auto"/>
          <w:spacing w:val="0"/>
          <w:sz w:val="32"/>
          <w:szCs w:val="32"/>
          <w:shd w:val="clear" w:fill="FFFFFF"/>
        </w:rPr>
        <w:t>不仅面向初中毕业生，更面对社会青年、退伍军人等为乡村振兴助力的生力军，让中职教育真正成为“受欢迎的教育”之一。</w:t>
      </w:r>
    </w:p>
    <w:p>
      <w:pPr>
        <w:pageBreakBefore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i w:val="0"/>
          <w:iCs w:val="0"/>
          <w:caps w:val="0"/>
          <w:color w:val="auto"/>
          <w:spacing w:val="0"/>
          <w:sz w:val="32"/>
          <w:szCs w:val="32"/>
          <w:shd w:val="clear" w:fill="FFFFFF"/>
          <w:lang w:val="en-US" w:eastAsia="zh-CN"/>
        </w:rPr>
      </w:pPr>
      <w:r>
        <w:rPr>
          <w:rFonts w:hint="eastAsia" w:ascii="仿宋_GB2312" w:hAnsi="仿宋_GB2312" w:eastAsia="仿宋_GB2312" w:cs="仿宋_GB2312"/>
          <w:color w:val="auto"/>
          <w:sz w:val="32"/>
          <w:szCs w:val="32"/>
          <w:lang w:val="en-US" w:eastAsia="zh-CN"/>
        </w:rPr>
        <w:t>创建学习型社会，大力挖掘传统工艺，蓟州区下窝头镇老曲庄社区居民，继承发扬制作粘豆包传统工艺，用大黄米、江米、红豆、花生、芝麻，加上矿泉水和面，待业在家的妇女经过专业人员的培训很快就可以‘上岗’。经过村民的试运营，一笼笼米香四溢、口感甜糯、营养丰富的粘豆包很快吸引了众多企业的关注。提高了居民整体收入。积极参与区妇联组织的“乡村振兴巾帼系列活动，”投身到蓟州于雪艳爱心志愿者服务行列，参与助老爱老，暖冬计划行动，把温暖送到千家万户，为老弱病残户累计捐款捐物2千余元。连续5年参加蓟州妇联组织的“爱心小天使”公益义卖捐赠活动，服务家庭，服务社会，以小家带大家，传递正能量，长倡扬新风尚。</w:t>
      </w:r>
    </w:p>
    <w:p>
      <w:pPr>
        <w:pageBreakBefore w:val="0"/>
        <w:numPr>
          <w:ilvl w:val="0"/>
          <w:numId w:val="0"/>
        </w:numPr>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lang w:val="en-US" w:eastAsia="zh-CN"/>
        </w:rPr>
      </w:pPr>
      <w:bookmarkStart w:id="46" w:name="_Toc29632"/>
      <w:r>
        <w:rPr>
          <w:rFonts w:hint="eastAsia" w:ascii="仿宋_GB2312" w:hAnsi="仿宋_GB2312" w:eastAsia="仿宋_GB2312" w:cs="仿宋_GB2312"/>
          <w:b/>
          <w:bCs/>
          <w:color w:val="auto"/>
          <w:sz w:val="32"/>
          <w:szCs w:val="32"/>
          <w:lang w:val="en-US" w:eastAsia="zh-CN"/>
        </w:rPr>
        <w:t>2.3服务民生福祉</w:t>
      </w:r>
      <w:bookmarkEnd w:id="46"/>
    </w:p>
    <w:p>
      <w:pPr>
        <w:pageBreakBefore w:val="0"/>
        <w:numPr>
          <w:ilvl w:val="0"/>
          <w:numId w:val="0"/>
        </w:numPr>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2.3.1服务地方社区</w:t>
      </w:r>
    </w:p>
    <w:p>
      <w:pPr>
        <w:pageBreakBefore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天津市信息工程学校，紧紧围绕服务百姓需求，以建设学习型社会为目标，积极探索，亲临社区，走访农户及31个社区，26个乡镇，积极打造人人皆学、处处能学、时时可学的学习型社会氛围。共建共促“区校联合体”，推进“区校终身学习联合体”工作，积极对接天津传媒学院继续教育学院，利用高校自身优势，因地制宜开展老年教育服务，提升高校社会服务能力。成功举办“守住心灵绿码”心理培训、老年智能手机培训，家庭心理健康梳理，谨防电信网络诈骗、科普文化宣传等活动。打造蓟州区首家公益社区学校《美福学社》、《白塔学堂》。</w:t>
      </w:r>
    </w:p>
    <w:p>
      <w:pPr>
        <w:pageBreakBefore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社区教育为目标，社区居民为对象，根据社区居民的利益与需要，整合各级各类资源，为社区居民提供教育服务。利用“三农下乡”等活动对社区居民进行了社会公德、家庭美德、科普文化、民主法制、民族团结、环境保护、文明行为等多项教育活动的宣传。以青少年和老年人为重点，带动社区全民健身，达到健康向上的社区文化氛围，组织参与10余次社区活动，受教育居民高达5000千人次。</w:t>
      </w:r>
    </w:p>
    <w:p>
      <w:pPr>
        <w:pageBreakBefore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sz w:val="32"/>
          <w:szCs w:val="32"/>
          <w:lang w:val="en-US" w:eastAsia="zh-CN"/>
        </w:rPr>
      </w:pPr>
    </w:p>
    <w:p>
      <w:pPr>
        <w:pageBreakBefore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drawing>
          <wp:inline distT="0" distB="0" distL="114300" distR="114300">
            <wp:extent cx="4907280" cy="2560320"/>
            <wp:effectExtent l="0" t="0" r="7620" b="11430"/>
            <wp:docPr id="4" name="图片 4" descr="白塔社区居民自发组建的曲艺队，平时在广场练习，经常参加各类演出和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白塔社区居民自发组建的曲艺队，平时在广场练习，经常参加各类演出和比赛"/>
                    <pic:cNvPicPr>
                      <a:picLocks noChangeAspect="1"/>
                    </pic:cNvPicPr>
                  </pic:nvPicPr>
                  <pic:blipFill>
                    <a:blip r:embed="rId46"/>
                    <a:srcRect l="613" b="13116"/>
                    <a:stretch>
                      <a:fillRect/>
                    </a:stretch>
                  </pic:blipFill>
                  <pic:spPr>
                    <a:xfrm>
                      <a:off x="0" y="0"/>
                      <a:ext cx="4907280" cy="2560320"/>
                    </a:xfrm>
                    <a:prstGeom prst="rect">
                      <a:avLst/>
                    </a:prstGeom>
                    <a:noFill/>
                    <a:ln>
                      <a:noFill/>
                    </a:ln>
                  </pic:spPr>
                </pic:pic>
              </a:graphicData>
            </a:graphic>
          </wp:inline>
        </w:drawing>
      </w:r>
    </w:p>
    <w:p>
      <w:pPr>
        <w:pStyle w:val="6"/>
        <w:bidi w:val="0"/>
        <w:ind w:firstLine="2310" w:firstLineChars="1100"/>
        <w:rPr>
          <w:rFonts w:hint="eastAsia"/>
          <w:lang w:val="en-US" w:eastAsia="zh-CN"/>
        </w:rPr>
      </w:pPr>
      <w:r>
        <w:rPr>
          <w:rFonts w:hint="eastAsia"/>
          <w:lang w:val="en-US" w:eastAsia="zh-CN"/>
        </w:rPr>
        <w:t>图2-2：全民终身活动周中，社区居民进行京韵大鼓表演</w:t>
      </w:r>
    </w:p>
    <w:p>
      <w:pPr>
        <w:pageBreakBefore w:val="0"/>
        <w:numPr>
          <w:ilvl w:val="0"/>
          <w:numId w:val="0"/>
        </w:numPr>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2.3.2服务社会培训</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对于短期技能培训，学校注重加强学员实践能力的培养，授课内容与生产实践、社会需求相结合，强化动手能力，注重实训实操实习，增强学员适应未来工作岗位的能力。学校有设施齐全的汽车实训车间、航海、轮机、数控机床、有多功能语音教室、PLC自控室、氩弧焊、电气焊、钳工、电工电子、计算机等57个技能实训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对每一位参加培训的退役士兵都制作了专门档案，并把有关信息输入电脑。对农村退役士兵和学习较认真的学员优先推荐就业。学校重视，齐抓共管,配备</w:t>
      </w:r>
      <w:r>
        <w:rPr>
          <w:rFonts w:hint="eastAsia" w:ascii="仿宋_GB2312" w:hAnsi="仿宋_GB2312" w:eastAsia="仿宋_GB2312" w:cs="仿宋_GB2312"/>
          <w:color w:val="auto"/>
          <w:sz w:val="32"/>
          <w:szCs w:val="32"/>
          <w:lang w:eastAsia="zh-CN"/>
        </w:rPr>
        <w:t>了</w:t>
      </w:r>
      <w:r>
        <w:rPr>
          <w:rFonts w:hint="eastAsia" w:ascii="仿宋_GB2312" w:hAnsi="仿宋_GB2312" w:eastAsia="仿宋_GB2312" w:cs="仿宋_GB2312"/>
          <w:color w:val="auto"/>
          <w:sz w:val="32"/>
          <w:szCs w:val="32"/>
        </w:rPr>
        <w:t>一流的师资和实习实训设备，校企合作，让退役士兵真正提升学历，掌握技术，零距离就业。学校专门成立退役士兵培训班学员管理小组，小组成员同心协力，高度负责，主动处理和解决在培训工作中以及学员管理中出现的问题，力求把学员们安排好、管理好、教育好。</w:t>
      </w:r>
    </w:p>
    <w:p>
      <w:pPr>
        <w:pageBreakBefore w:val="0"/>
        <w:numPr>
          <w:ilvl w:val="0"/>
          <w:numId w:val="0"/>
        </w:numPr>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lang w:val="en-US" w:eastAsia="zh-CN"/>
        </w:rPr>
      </w:pPr>
      <w:bookmarkStart w:id="47" w:name="_Toc10670"/>
      <w:r>
        <w:rPr>
          <w:rFonts w:hint="eastAsia" w:ascii="仿宋_GB2312" w:hAnsi="仿宋_GB2312" w:eastAsia="仿宋_GB2312" w:cs="仿宋_GB2312"/>
          <w:b/>
          <w:bCs/>
          <w:color w:val="auto"/>
          <w:sz w:val="32"/>
          <w:szCs w:val="32"/>
          <w:lang w:val="en-US" w:eastAsia="zh-CN"/>
        </w:rPr>
        <w:t>2.4特色创新</w:t>
      </w:r>
      <w:bookmarkEnd w:id="47"/>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天津市信息工程学校</w:t>
      </w:r>
      <w:r>
        <w:rPr>
          <w:rFonts w:hint="eastAsia" w:ascii="仿宋_GB2312" w:hAnsi="仿宋_GB2312" w:eastAsia="仿宋_GB2312" w:cs="仿宋_GB2312"/>
          <w:color w:val="auto"/>
          <w:sz w:val="32"/>
          <w:szCs w:val="32"/>
        </w:rPr>
        <w:t>致力于将全国一类革命老区蓟州区的革命精神融入校园文化、人才培养、科学研究、社会服务、党性教育各环节。</w:t>
      </w:r>
      <w:r>
        <w:rPr>
          <w:rFonts w:hint="eastAsia" w:ascii="仿宋_GB2312" w:hAnsi="仿宋_GB2312" w:eastAsia="仿宋_GB2312" w:cs="仿宋_GB2312"/>
          <w:color w:val="auto"/>
          <w:sz w:val="32"/>
          <w:szCs w:val="32"/>
          <w:lang w:val="en-US" w:eastAsia="zh-CN"/>
        </w:rPr>
        <w:t>2022年</w:t>
      </w:r>
      <w:r>
        <w:rPr>
          <w:rFonts w:hint="eastAsia" w:ascii="仿宋_GB2312" w:hAnsi="仿宋_GB2312" w:eastAsia="仿宋_GB2312" w:cs="仿宋_GB2312"/>
          <w:color w:val="auto"/>
          <w:sz w:val="32"/>
          <w:szCs w:val="32"/>
        </w:rPr>
        <w:t>12月，我校依托蓟州区红色历史和文化资源的独特优势，完成由蓟州红色历史、红色人物和红色精神3个部分组成的中职学校红色育人示范基地一期建设项目并投入使用，与雷锋雕塑园、大国工匠校园路共同构成思政育人园地，从而将蓟州革命老区精神与雷锋精神、大国工匠精神融为一体。2023年2月，我校成立红色育人示范基地学生宣讲社团。社团成员在责任教师的带领下，立足学校红色育人基地，将我区红色文化资源进行有效整合，为全校师生和来校参观访问的社会各届来宾，深情讲述红色故事。</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025390" cy="2380615"/>
            <wp:effectExtent l="0" t="0" r="3810" b="635"/>
            <wp:docPr id="5" name="图片 5" descr="育人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育人基地"/>
                    <pic:cNvPicPr>
                      <a:picLocks noChangeAspect="1"/>
                    </pic:cNvPicPr>
                  </pic:nvPicPr>
                  <pic:blipFill>
                    <a:blip r:embed="rId47"/>
                    <a:stretch>
                      <a:fillRect/>
                    </a:stretch>
                  </pic:blipFill>
                  <pic:spPr>
                    <a:xfrm>
                      <a:off x="0" y="0"/>
                      <a:ext cx="5025390" cy="2380615"/>
                    </a:xfrm>
                    <a:prstGeom prst="rect">
                      <a:avLst/>
                    </a:prstGeom>
                  </pic:spPr>
                </pic:pic>
              </a:graphicData>
            </a:graphic>
          </wp:inline>
        </w:drawing>
      </w:r>
    </w:p>
    <w:p>
      <w:pPr>
        <w:pStyle w:val="6"/>
        <w:bidi w:val="0"/>
        <w:ind w:firstLine="2940" w:firstLineChars="1400"/>
        <w:rPr>
          <w:rFonts w:hint="default"/>
          <w:lang w:val="en-US" w:eastAsia="zh-CN"/>
        </w:rPr>
      </w:pPr>
      <w:r>
        <w:rPr>
          <w:rFonts w:hint="eastAsia"/>
          <w:lang w:val="en-US" w:eastAsia="zh-CN"/>
        </w:rPr>
        <w:t>图2-3：师生参观</w:t>
      </w:r>
      <w:r>
        <w:rPr>
          <w:rFonts w:hint="eastAsia"/>
        </w:rPr>
        <w:t>红色育人示范基地</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0"/>
        <w:rPr>
          <w:rFonts w:hint="eastAsia" w:ascii="仿宋_GB2312" w:hAnsi="仿宋_GB2312" w:eastAsia="仿宋_GB2312" w:cs="仿宋_GB2312"/>
          <w:b/>
          <w:bCs/>
          <w:color w:val="auto"/>
          <w:sz w:val="32"/>
          <w:szCs w:val="32"/>
          <w:lang w:val="en-US" w:eastAsia="zh-CN"/>
        </w:rPr>
      </w:pPr>
      <w:bookmarkStart w:id="48" w:name="_Toc28542"/>
      <w:r>
        <w:rPr>
          <w:rFonts w:hint="eastAsia" w:ascii="仿宋_GB2312" w:hAnsi="仿宋_GB2312" w:eastAsia="仿宋_GB2312" w:cs="仿宋_GB2312"/>
          <w:b/>
          <w:bCs/>
          <w:color w:val="auto"/>
          <w:sz w:val="32"/>
          <w:szCs w:val="32"/>
          <w:lang w:val="en-US" w:eastAsia="zh-CN"/>
        </w:rPr>
        <w:t>3.文化传承</w:t>
      </w:r>
      <w:bookmarkEnd w:id="48"/>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1"/>
        <w:rPr>
          <w:rFonts w:hint="eastAsia" w:ascii="仿宋_GB2312" w:hAnsi="仿宋_GB2312" w:eastAsia="仿宋_GB2312" w:cs="仿宋_GB2312"/>
          <w:b/>
          <w:bCs/>
          <w:color w:val="auto"/>
          <w:sz w:val="32"/>
          <w:szCs w:val="32"/>
          <w:lang w:val="en-US" w:eastAsia="zh-CN"/>
        </w:rPr>
      </w:pPr>
      <w:bookmarkStart w:id="49" w:name="_Toc8241"/>
      <w:r>
        <w:rPr>
          <w:rFonts w:hint="eastAsia" w:ascii="仿宋_GB2312" w:hAnsi="仿宋_GB2312" w:eastAsia="仿宋_GB2312" w:cs="仿宋_GB2312"/>
          <w:b/>
          <w:bCs/>
          <w:color w:val="auto"/>
          <w:sz w:val="32"/>
          <w:szCs w:val="32"/>
          <w:lang w:val="en-US" w:eastAsia="zh-CN"/>
        </w:rPr>
        <w:t>3.1传承红色基因</w:t>
      </w:r>
      <w:bookmarkEnd w:id="49"/>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津市信息工程学校立足蓟州区丰富的红色文化资源，实施“红色文化育人建设”，将蓟州区红色文化融入办学育人全过程，深入贯彻落实习近平总书记提出的“要讲好党的故事、革命的故事、根据地的故事、英雄和烈士的故事，加强革命传统教育、爱国主义教育、青少年思想道德教育，把红色基因传承好，确保红色江山永不变色。”的重要指示精神。</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津市信息工程学校以红色文化赋能思政教学和专业教学，鼓励老师们以深入挖掘各类课程中蕴含的红色文化为着力点，着重将我区红色文化有针对性地融入各类课程教学，以“蓟州红色引擎”激活课程思政教学，让革命英烈鲜活起来，让课程思政教育鲜活起来。思政课教研室、党建办</w:t>
      </w:r>
      <w:r>
        <w:rPr>
          <w:rFonts w:hint="eastAsia" w:ascii="仿宋_GB2312" w:hAnsi="仿宋_GB2312" w:eastAsia="仿宋_GB2312" w:cs="仿宋_GB2312"/>
          <w:color w:val="auto"/>
          <w:sz w:val="32"/>
          <w:szCs w:val="32"/>
          <w:lang w:val="en-US" w:eastAsia="zh-CN"/>
        </w:rPr>
        <w:t>公室</w:t>
      </w:r>
      <w:r>
        <w:rPr>
          <w:rFonts w:hint="eastAsia" w:ascii="仿宋_GB2312" w:hAnsi="仿宋_GB2312" w:eastAsia="仿宋_GB2312" w:cs="仿宋_GB2312"/>
          <w:color w:val="auto"/>
          <w:sz w:val="32"/>
          <w:szCs w:val="32"/>
        </w:rPr>
        <w:t>通过走访和沟通，确定多处校外红色教育基地。与盘山烈士陵园、爨岭庙烈士陵园、红色十里长廊、天津广播电台战备台旧址、罗庄子镇抗日战争胜利纪念碑爱国主义教育基地、马伸桥龙山爱国主义教育基地建立长期合作。定期分批组织思政课教师、文化基础课教师和专业课教师赴基地开展“红色精神融入课堂教学”学习实践活动。分批组织学生现场参观学习，定期在基地组织团员青年代表活动。</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4738370" cy="2461260"/>
            <wp:effectExtent l="0" t="0" r="5080" b="15240"/>
            <wp:docPr id="8" name="图片 8" descr="e3512cac5769bf7be3ad40663168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512cac5769bf7be3ad406631686f1"/>
                    <pic:cNvPicPr>
                      <a:picLocks noChangeAspect="1"/>
                    </pic:cNvPicPr>
                  </pic:nvPicPr>
                  <pic:blipFill>
                    <a:blip r:embed="rId48"/>
                    <a:stretch>
                      <a:fillRect/>
                    </a:stretch>
                  </pic:blipFill>
                  <pic:spPr>
                    <a:xfrm>
                      <a:off x="0" y="0"/>
                      <a:ext cx="4738370" cy="2461260"/>
                    </a:xfrm>
                    <a:prstGeom prst="rect">
                      <a:avLst/>
                    </a:prstGeom>
                  </pic:spPr>
                </pic:pic>
              </a:graphicData>
            </a:graphic>
          </wp:inline>
        </w:drawing>
      </w:r>
    </w:p>
    <w:p>
      <w:pPr>
        <w:pStyle w:val="6"/>
        <w:bidi w:val="0"/>
        <w:jc w:val="center"/>
        <w:rPr>
          <w:rFonts w:hint="default"/>
          <w:lang w:val="en-US" w:eastAsia="zh-CN"/>
        </w:rPr>
      </w:pPr>
      <w:r>
        <w:rPr>
          <w:rFonts w:hint="eastAsia"/>
          <w:lang w:val="en-US" w:eastAsia="zh-CN"/>
        </w:rPr>
        <w:t>图3-1：李校长带领思政课教师瞻仰爨岭庙烈士陵园</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天津市信息工程学校结合旅游服务与管理专业特色，开展了一系列以红色教育为主旨的“大思政课”教育实践活动，组织学生利用思政课、团课、每周一歌、节假日等收听、收看、诵读我区红色故事，并鼓励学生坚持记录学习心得、创作系列红色作品，和老师、同学、朋友、父母交流学习感悟，把感人至深的革命故事讲述给身边的小朋友、小伙伴听，实现教师、学生、家长和社会的良性互动、理论与实践的互融互通、内容与形式的双向建构。天津市信息工程学校学生李嘉怡在第五届“致敬英雄”全国青少年文化艺术创作主题教育竞赛“红色基因代代传”党史知识竞赛单元中，荣获全国总决赛三等奖、天津市一等奖，她的微课《从一封未送出的鸡毛信到乡村振兴看中国共产党的初心使命》荣获2022年天津市中等职业学校学生思想政治课公开课大赛优秀奖。</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rPr>
      </w:pP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rPr>
      </w:pP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2325370" cy="3285490"/>
            <wp:effectExtent l="0" t="0" r="17780" b="10160"/>
            <wp:docPr id="9" name="图片 9" descr="李嘉怡决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李嘉怡决赛证书"/>
                    <pic:cNvPicPr>
                      <a:picLocks noChangeAspect="1"/>
                    </pic:cNvPicPr>
                  </pic:nvPicPr>
                  <pic:blipFill>
                    <a:blip r:embed="rId49"/>
                    <a:stretch>
                      <a:fillRect/>
                    </a:stretch>
                  </pic:blipFill>
                  <pic:spPr>
                    <a:xfrm>
                      <a:off x="0" y="0"/>
                      <a:ext cx="2325370" cy="3285490"/>
                    </a:xfrm>
                    <a:prstGeom prst="rect">
                      <a:avLst/>
                    </a:prstGeom>
                  </pic:spPr>
                </pic:pic>
              </a:graphicData>
            </a:graphic>
          </wp:inline>
        </w:drawing>
      </w:r>
      <w:r>
        <w:rPr>
          <w:rFonts w:hint="eastAsia" w:ascii="仿宋_GB2312" w:hAnsi="仿宋_GB2312" w:eastAsia="仿宋_GB2312" w:cs="仿宋_GB2312"/>
          <w:color w:val="auto"/>
          <w:sz w:val="32"/>
          <w:szCs w:val="32"/>
          <w:lang w:val="en-US" w:eastAsia="zh-CN"/>
        </w:rPr>
        <w:drawing>
          <wp:inline distT="0" distB="0" distL="114300" distR="114300">
            <wp:extent cx="2440940" cy="3272790"/>
            <wp:effectExtent l="0" t="0" r="16510" b="3810"/>
            <wp:docPr id="10" name="图片 10" descr="李嘉怡省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李嘉怡省赛证书"/>
                    <pic:cNvPicPr>
                      <a:picLocks noChangeAspect="1"/>
                    </pic:cNvPicPr>
                  </pic:nvPicPr>
                  <pic:blipFill>
                    <a:blip r:embed="rId50"/>
                    <a:stretch>
                      <a:fillRect/>
                    </a:stretch>
                  </pic:blipFill>
                  <pic:spPr>
                    <a:xfrm>
                      <a:off x="0" y="0"/>
                      <a:ext cx="2440940" cy="3272790"/>
                    </a:xfrm>
                    <a:prstGeom prst="rect">
                      <a:avLst/>
                    </a:prstGeom>
                  </pic:spPr>
                </pic:pic>
              </a:graphicData>
            </a:graphic>
          </wp:inline>
        </w:drawing>
      </w:r>
    </w:p>
    <w:p>
      <w:pPr>
        <w:pStyle w:val="6"/>
        <w:bidi w:val="0"/>
        <w:jc w:val="center"/>
        <w:rPr>
          <w:rFonts w:hint="default"/>
          <w:lang w:val="en-US" w:eastAsia="zh-CN"/>
        </w:rPr>
      </w:pPr>
      <w:bookmarkStart w:id="50" w:name="_Toc31861"/>
      <w:r>
        <w:rPr>
          <w:rFonts w:hint="eastAsia"/>
          <w:lang w:val="en-US" w:eastAsia="zh-CN"/>
        </w:rPr>
        <w:t>图3-2：党史知识竞赛获奖证明</w:t>
      </w:r>
      <w:bookmarkEnd w:id="50"/>
    </w:p>
    <w:p>
      <w:pPr>
        <w:pageBreakBefore w:val="0"/>
        <w:kinsoku/>
        <w:wordWrap/>
        <w:overflowPunct/>
        <w:topLinePunct w:val="0"/>
        <w:autoSpaceDE/>
        <w:autoSpaceDN/>
        <w:bidi w:val="0"/>
        <w:adjustRightInd/>
        <w:spacing w:line="240" w:lineRule="auto"/>
        <w:ind w:firstLine="643" w:firstLineChars="200"/>
        <w:jc w:val="left"/>
        <w:outlineLvl w:val="1"/>
        <w:rPr>
          <w:rFonts w:hint="eastAsia" w:ascii="仿宋_GB2312" w:hAnsi="仿宋_GB2312" w:eastAsia="仿宋_GB2312" w:cs="仿宋_GB2312"/>
          <w:b/>
          <w:bCs/>
          <w:color w:val="auto"/>
          <w:sz w:val="32"/>
          <w:szCs w:val="32"/>
          <w:lang w:val="en-US" w:eastAsia="zh-CN"/>
        </w:rPr>
      </w:pPr>
      <w:bookmarkStart w:id="51" w:name="_Toc7390"/>
      <w:r>
        <w:rPr>
          <w:rFonts w:hint="eastAsia" w:ascii="仿宋_GB2312" w:hAnsi="仿宋_GB2312" w:eastAsia="仿宋_GB2312" w:cs="仿宋_GB2312"/>
          <w:b/>
          <w:bCs/>
          <w:color w:val="auto"/>
          <w:sz w:val="32"/>
          <w:szCs w:val="32"/>
          <w:lang w:val="en-US" w:eastAsia="zh-CN"/>
        </w:rPr>
        <w:t>3.2传承传统文化</w:t>
      </w:r>
      <w:bookmarkEnd w:id="51"/>
    </w:p>
    <w:p>
      <w:pPr>
        <w:pStyle w:val="5"/>
        <w:pageBreakBefore w:val="0"/>
        <w:kinsoku/>
        <w:wordWrap/>
        <w:overflowPunct/>
        <w:topLinePunct w:val="0"/>
        <w:autoSpaceDE/>
        <w:autoSpaceDN/>
        <w:bidi w:val="0"/>
        <w:adjustRightInd/>
        <w:spacing w:before="0" w:after="0"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3.2.1传统文化素养提升</w:t>
      </w:r>
    </w:p>
    <w:p>
      <w:pPr>
        <w:pStyle w:val="5"/>
        <w:pageBreakBefore w:val="0"/>
        <w:kinsoku/>
        <w:wordWrap/>
        <w:overflowPunct/>
        <w:topLinePunct w:val="0"/>
        <w:autoSpaceDE/>
        <w:autoSpaceDN/>
        <w:bidi w:val="0"/>
        <w:adjustRightInd/>
        <w:spacing w:before="0" w:after="0" w:line="240" w:lineRule="auto"/>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天津市信息工程学校协助京津冀蒙“共同体”做好调研工作，探索“康养游学”教育模式，重走蓟州红色文化古迹，探索社区学员游中学，游中感悟教学效果，传承红色历史文化，讲好蓟州故事。</w:t>
      </w:r>
    </w:p>
    <w:p>
      <w:pPr>
        <w:pageBreakBefore w:val="0"/>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3.2.2传承民族传统文化</w:t>
      </w:r>
    </w:p>
    <w:p>
      <w:pPr>
        <w:pageBreakBefore w:val="0"/>
        <w:widowControl/>
        <w:numPr>
          <w:ilvl w:val="0"/>
          <w:numId w:val="0"/>
        </w:numPr>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学生综合素质能力健全发展是学校工作的重要组成部分，为丰富学生在校生活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 xml:space="preserve">开设了社团 </w:t>
      </w:r>
      <w:r>
        <w:rPr>
          <w:rFonts w:hint="eastAsia" w:ascii="仿宋_GB2312" w:hAnsi="仿宋_GB2312" w:eastAsia="仿宋_GB2312" w:cs="仿宋_GB2312"/>
          <w:color w:val="auto"/>
          <w:sz w:val="32"/>
          <w:szCs w:val="32"/>
          <w:lang w:val="en-US" w:eastAsia="zh-CN"/>
        </w:rPr>
        <w:t>16</w:t>
      </w:r>
      <w:r>
        <w:rPr>
          <w:rFonts w:hint="eastAsia" w:ascii="仿宋_GB2312" w:hAnsi="仿宋_GB2312" w:eastAsia="仿宋_GB2312" w:cs="仿宋_GB2312"/>
          <w:color w:val="auto"/>
          <w:sz w:val="32"/>
          <w:szCs w:val="32"/>
        </w:rPr>
        <w:t xml:space="preserve"> 个，分别为专业技能类、文体娱乐类、公益服务类、社会实践类等，由学校社团委进行引导。</w:t>
      </w:r>
      <w:r>
        <w:rPr>
          <w:rFonts w:hint="eastAsia" w:ascii="仿宋_GB2312" w:hAnsi="仿宋_GB2312" w:eastAsia="仿宋_GB2312" w:cs="仿宋_GB2312"/>
          <w:color w:val="auto"/>
          <w:sz w:val="32"/>
          <w:szCs w:val="32"/>
          <w:lang w:val="en-US" w:eastAsia="zh-CN"/>
        </w:rPr>
        <w:t>以社团为依托，每年开展</w:t>
      </w:r>
      <w:r>
        <w:rPr>
          <w:rFonts w:hint="eastAsia" w:ascii="仿宋_GB2312" w:hAnsi="仿宋_GB2312" w:eastAsia="仿宋_GB2312" w:cs="仿宋_GB2312"/>
          <w:color w:val="auto"/>
          <w:sz w:val="32"/>
          <w:szCs w:val="32"/>
        </w:rPr>
        <w:t>社团文化节</w:t>
      </w:r>
      <w:r>
        <w:rPr>
          <w:rFonts w:hint="eastAsia" w:ascii="仿宋_GB2312" w:hAnsi="仿宋_GB2312" w:eastAsia="仿宋_GB2312" w:cs="仿宋_GB2312"/>
          <w:color w:val="auto"/>
          <w:sz w:val="32"/>
          <w:szCs w:val="32"/>
          <w:lang w:val="en-US" w:eastAsia="zh-CN"/>
        </w:rPr>
        <w:t>和校园文化艺术节，</w:t>
      </w:r>
      <w:r>
        <w:rPr>
          <w:rFonts w:hint="eastAsia" w:ascii="仿宋_GB2312" w:hAnsi="仿宋_GB2312" w:eastAsia="仿宋_GB2312" w:cs="仿宋_GB2312"/>
          <w:color w:val="auto"/>
          <w:sz w:val="32"/>
          <w:szCs w:val="32"/>
        </w:rPr>
        <w:t>提高了学生们的学习能力、实践能力、创新能力和社会责任感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武术社团在蓟州区第三届社区运动会暨第五届传统武术大赛中，荣获集体项目一等奖，个人项目荣获13块金牌、8块银牌、16块铜牌。</w:t>
      </w:r>
    </w:p>
    <w:p>
      <w:pPr>
        <w:pStyle w:val="3"/>
        <w:bidi w:val="0"/>
        <w:jc w:val="center"/>
        <w:rPr>
          <w:rFonts w:hint="eastAsia"/>
          <w:lang w:val="en-US" w:eastAsia="zh-CN"/>
        </w:rPr>
      </w:pPr>
      <w:bookmarkStart w:id="52" w:name="_Toc31480"/>
      <w:r>
        <w:rPr>
          <w:rFonts w:hint="eastAsia"/>
          <w:lang w:val="en-US" w:eastAsia="zh-CN"/>
        </w:rPr>
        <w:t>案例3-1 ：传承中华传统文化---天信武术、舞狮社团</w:t>
      </w:r>
      <w:bookmarkEnd w:id="52"/>
    </w:p>
    <w:p>
      <w:pPr>
        <w:pageBreakBefore w:val="0"/>
        <w:widowControl/>
        <w:numPr>
          <w:ilvl w:val="0"/>
          <w:numId w:val="0"/>
        </w:numPr>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武术、舞狮社团，作为中华传统文化之瑰宝，成为天信校园文化的一道独特风景，学生在武术社团活动中不仅感受传统武术文化的魅力，而是将武德视为重要的武术规范贯穿于武术学习过程，使学生的审美能力、职业素养都得到了提高。武术社团曾多次参加市、区举办的大型活动和志愿服务等公益活动，并在各种武术赛项中多次获奖，学校的校园文化艺术节、秋季运动会上更是少不了他们的身影。2023年，天津市信息工程学校武术社团在蓟州区第三届社区运动会暨第五届传统武术大赛中，荣获集体项目一等奖，个人项目荣获13块金牌、8块银牌、16块铜牌。舞狮社团的同学们参加了蓟州区美育实践工作坊的启动仪式，得到与会领导的高度赞扬。</w:t>
      </w:r>
    </w:p>
    <w:p>
      <w:pPr>
        <w:pageBreakBefore w:val="0"/>
        <w:widowControl/>
        <w:numPr>
          <w:ilvl w:val="0"/>
          <w:numId w:val="0"/>
        </w:numPr>
        <w:kinsoku/>
        <w:wordWrap/>
        <w:overflowPunct/>
        <w:topLinePunct w:val="0"/>
        <w:autoSpaceDE/>
        <w:autoSpaceDN/>
        <w:bidi w:val="0"/>
        <w:adjustRightInd/>
        <w:spacing w:line="240" w:lineRule="auto"/>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037455" cy="2094865"/>
            <wp:effectExtent l="0" t="0" r="0" b="0"/>
            <wp:docPr id="13" name="图片 13" descr="武术社团参加蓟州区第三届社区运动会暨第五届传统武术大赛中，荣获集体项目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武术社团参加蓟州区第三届社区运动会暨第五届传统武术大赛中，荣获集体项目一等奖"/>
                    <pic:cNvPicPr>
                      <a:picLocks noChangeAspect="1"/>
                    </pic:cNvPicPr>
                  </pic:nvPicPr>
                  <pic:blipFill>
                    <a:blip r:embed="rId51"/>
                    <a:srcRect b="12656"/>
                    <a:stretch>
                      <a:fillRect/>
                    </a:stretch>
                  </pic:blipFill>
                  <pic:spPr>
                    <a:xfrm>
                      <a:off x="0" y="0"/>
                      <a:ext cx="5037455" cy="2094865"/>
                    </a:xfrm>
                    <a:prstGeom prst="rect">
                      <a:avLst/>
                    </a:prstGeom>
                  </pic:spPr>
                </pic:pic>
              </a:graphicData>
            </a:graphic>
          </wp:inline>
        </w:drawing>
      </w:r>
    </w:p>
    <w:p>
      <w:pPr>
        <w:pStyle w:val="6"/>
        <w:bidi w:val="0"/>
        <w:ind w:firstLine="1050" w:firstLineChars="500"/>
        <w:jc w:val="left"/>
        <w:rPr>
          <w:rFonts w:hint="eastAsia"/>
          <w:lang w:val="en-US" w:eastAsia="zh-CN"/>
        </w:rPr>
      </w:pPr>
      <w:r>
        <w:rPr>
          <w:rFonts w:hint="eastAsia"/>
          <w:lang w:val="en-US" w:eastAsia="zh-CN"/>
        </w:rPr>
        <w:t>图3-3：武术社团参加蓟州区第三届社区运动会暨第五届传统武术大赛中，</w:t>
      </w:r>
    </w:p>
    <w:p>
      <w:pPr>
        <w:pStyle w:val="6"/>
        <w:bidi w:val="0"/>
        <w:ind w:left="0" w:leftChars="0" w:firstLine="1799" w:firstLineChars="857"/>
        <w:jc w:val="left"/>
        <w:rPr>
          <w:rFonts w:hint="eastAsia"/>
          <w:lang w:val="en-US" w:eastAsia="zh-CN"/>
        </w:rPr>
      </w:pPr>
      <w:r>
        <w:rPr>
          <w:rFonts w:hint="eastAsia"/>
          <w:lang w:val="en-US" w:eastAsia="zh-CN"/>
        </w:rPr>
        <w:t>荣获集体项目一等奖</w:t>
      </w:r>
    </w:p>
    <w:p>
      <w:pPr>
        <w:pStyle w:val="5"/>
        <w:pageBreakBefore w:val="0"/>
        <w:kinsoku/>
        <w:wordWrap/>
        <w:overflowPunct/>
        <w:topLinePunct w:val="0"/>
        <w:autoSpaceDE/>
        <w:autoSpaceDN/>
        <w:bidi w:val="0"/>
        <w:adjustRightInd/>
        <w:spacing w:before="0" w:after="0" w:line="240" w:lineRule="auto"/>
        <w:ind w:firstLine="643" w:firstLineChars="200"/>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3.2.3传承津沽文化</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组织开展第十一届“弘扬华夏文明 传承津沽文化”主题文化传承活动，收集美术、书法、剪纸、武术、舞蹈、声乐等作品几十件。</w:t>
      </w:r>
      <w:r>
        <w:rPr>
          <w:rFonts w:hint="eastAsia" w:ascii="仿宋_GB2312" w:hAnsi="仿宋_GB2312" w:eastAsia="仿宋_GB2312" w:cs="仿宋_GB2312"/>
          <w:color w:val="auto"/>
          <w:sz w:val="32"/>
          <w:szCs w:val="32"/>
        </w:rPr>
        <w:t>在</w:t>
      </w:r>
      <w:r>
        <w:rPr>
          <w:rFonts w:hint="eastAsia" w:ascii="仿宋_GB2312" w:hAnsi="仿宋_GB2312" w:eastAsia="仿宋_GB2312" w:cs="仿宋_GB2312"/>
          <w:color w:val="auto"/>
          <w:sz w:val="32"/>
          <w:szCs w:val="32"/>
          <w:lang w:val="en-US" w:eastAsia="zh-CN"/>
        </w:rPr>
        <w:t>天津市</w:t>
      </w:r>
      <w:bookmarkStart w:id="68" w:name="_GoBack"/>
      <w:bookmarkEnd w:id="68"/>
      <w:r>
        <w:rPr>
          <w:rFonts w:hint="eastAsia" w:ascii="仿宋_GB2312" w:hAnsi="仿宋_GB2312" w:eastAsia="仿宋_GB2312" w:cs="仿宋_GB2312"/>
          <w:color w:val="auto"/>
          <w:sz w:val="32"/>
          <w:szCs w:val="32"/>
          <w:lang w:val="en-US" w:eastAsia="zh-CN"/>
        </w:rPr>
        <w:t>学校美育实践课堂比赛中，计算机</w:t>
      </w:r>
      <w:r>
        <w:rPr>
          <w:rFonts w:hint="eastAsia" w:ascii="仿宋_GB2312" w:hAnsi="仿宋_GB2312" w:eastAsia="仿宋_GB2312" w:cs="仿宋_GB2312"/>
          <w:color w:val="auto"/>
          <w:sz w:val="32"/>
          <w:szCs w:val="32"/>
        </w:rPr>
        <w:t>系</w:t>
      </w:r>
      <w:r>
        <w:rPr>
          <w:rFonts w:hint="eastAsia" w:ascii="仿宋_GB2312" w:hAnsi="仿宋_GB2312" w:eastAsia="仿宋_GB2312" w:cs="仿宋_GB2312"/>
          <w:color w:val="auto"/>
          <w:sz w:val="32"/>
          <w:szCs w:val="32"/>
          <w:lang w:val="en-US" w:eastAsia="zh-CN"/>
        </w:rPr>
        <w:t>张圣楠荣</w:t>
      </w:r>
      <w:r>
        <w:rPr>
          <w:rFonts w:hint="eastAsia" w:ascii="仿宋_GB2312" w:hAnsi="仿宋_GB2312" w:eastAsia="仿宋_GB2312" w:cs="仿宋_GB2312"/>
          <w:color w:val="auto"/>
          <w:sz w:val="32"/>
          <w:szCs w:val="32"/>
        </w:rPr>
        <w:t>获美术类</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级二等奖；旅艺系</w:t>
      </w:r>
      <w:r>
        <w:rPr>
          <w:rFonts w:hint="eastAsia" w:ascii="仿宋_GB2312" w:hAnsi="仿宋_GB2312" w:eastAsia="仿宋_GB2312" w:cs="仿宋_GB2312"/>
          <w:color w:val="auto"/>
          <w:sz w:val="32"/>
          <w:szCs w:val="32"/>
          <w:lang w:val="en-US" w:eastAsia="zh-CN"/>
        </w:rPr>
        <w:t>杨淏吉荣获吉他弹唱项目市级二等奖，史冰洁荣获声乐项目市级二等奖，计算机系徐金鹏荣获声乐项目市级二等奖</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旅艺系付涵荣获键盘项目市级二等奖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计算机系张希然荣获朗诵项目市级一等奖，</w:t>
      </w:r>
      <w:r>
        <w:rPr>
          <w:rFonts w:hint="eastAsia" w:ascii="仿宋_GB2312" w:hAnsi="仿宋_GB2312" w:eastAsia="仿宋_GB2312" w:cs="仿宋_GB2312"/>
          <w:color w:val="auto"/>
          <w:sz w:val="32"/>
          <w:szCs w:val="32"/>
        </w:rPr>
        <w:t>充分展示了学校美育工作的优秀成果。学校各项美育活动达到了“</w:t>
      </w:r>
      <w:r>
        <w:rPr>
          <w:rFonts w:hint="eastAsia" w:ascii="仿宋_GB2312" w:hAnsi="仿宋_GB2312" w:eastAsia="仿宋_GB2312" w:cs="仿宋_GB2312"/>
          <w:color w:val="auto"/>
          <w:sz w:val="32"/>
          <w:szCs w:val="32"/>
          <w:lang w:val="en-US" w:eastAsia="zh-CN"/>
        </w:rPr>
        <w:t>以文化人 以美育人</w:t>
      </w:r>
      <w:r>
        <w:rPr>
          <w:rFonts w:hint="eastAsia" w:ascii="仿宋_GB2312" w:hAnsi="仿宋_GB2312" w:eastAsia="仿宋_GB2312" w:cs="仿宋_GB2312"/>
          <w:color w:val="auto"/>
          <w:sz w:val="32"/>
          <w:szCs w:val="32"/>
        </w:rPr>
        <w:t>”的目的，展示了天信师生蓬勃的精神风貌!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114925" cy="2816860"/>
            <wp:effectExtent l="0" t="0" r="9525" b="2540"/>
            <wp:docPr id="11" name="图片 11" descr="舞狮社团参加第十二届“津沽文化日”暨蓟州区美育实践工作坊启动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舞狮社团参加第十二届“津沽文化日”暨蓟州区美育实践工作坊启动仪式"/>
                    <pic:cNvPicPr>
                      <a:picLocks noChangeAspect="1"/>
                    </pic:cNvPicPr>
                  </pic:nvPicPr>
                  <pic:blipFill>
                    <a:blip r:embed="rId52"/>
                    <a:stretch>
                      <a:fillRect/>
                    </a:stretch>
                  </pic:blipFill>
                  <pic:spPr>
                    <a:xfrm>
                      <a:off x="0" y="0"/>
                      <a:ext cx="5114925" cy="2816860"/>
                    </a:xfrm>
                    <a:prstGeom prst="rect">
                      <a:avLst/>
                    </a:prstGeom>
                  </pic:spPr>
                </pic:pic>
              </a:graphicData>
            </a:graphic>
          </wp:inline>
        </w:drawing>
      </w:r>
    </w:p>
    <w:p>
      <w:pPr>
        <w:pStyle w:val="6"/>
        <w:bidi w:val="0"/>
        <w:rPr>
          <w:rFonts w:hint="default"/>
          <w:lang w:val="en-US" w:eastAsia="zh-CN"/>
        </w:rPr>
      </w:pPr>
      <w:r>
        <w:rPr>
          <w:rFonts w:hint="eastAsia"/>
          <w:lang w:val="en-US" w:eastAsia="zh-CN"/>
        </w:rPr>
        <w:t>图3-4：舞狮社团参加第十二届“津沽文化日”暨蓟州区美育实践工作坊启动仪式</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0"/>
        <w:rPr>
          <w:rFonts w:hint="eastAsia" w:ascii="仿宋_GB2312" w:hAnsi="仿宋_GB2312" w:eastAsia="仿宋_GB2312" w:cs="仿宋_GB2312"/>
          <w:b/>
          <w:bCs/>
          <w:color w:val="auto"/>
          <w:sz w:val="32"/>
          <w:szCs w:val="32"/>
          <w:lang w:val="en-US" w:eastAsia="zh-CN"/>
        </w:rPr>
      </w:pPr>
      <w:bookmarkStart w:id="53" w:name="_Toc8955"/>
      <w:r>
        <w:rPr>
          <w:rFonts w:hint="eastAsia" w:ascii="仿宋_GB2312" w:hAnsi="仿宋_GB2312" w:eastAsia="仿宋_GB2312" w:cs="仿宋_GB2312"/>
          <w:b/>
          <w:bCs/>
          <w:color w:val="auto"/>
          <w:sz w:val="32"/>
          <w:szCs w:val="32"/>
          <w:lang w:val="en-US" w:eastAsia="zh-CN"/>
        </w:rPr>
        <w:t>4.产教融合</w:t>
      </w:r>
      <w:bookmarkEnd w:id="53"/>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1"/>
        <w:rPr>
          <w:rFonts w:hint="eastAsia" w:ascii="仿宋_GB2312" w:hAnsi="仿宋_GB2312" w:eastAsia="仿宋_GB2312" w:cs="仿宋_GB2312"/>
          <w:b/>
          <w:bCs/>
          <w:color w:val="auto"/>
          <w:sz w:val="32"/>
          <w:szCs w:val="32"/>
          <w:lang w:val="en-US" w:eastAsia="zh-CN"/>
        </w:rPr>
      </w:pPr>
      <w:bookmarkStart w:id="54" w:name="_Toc26607"/>
      <w:r>
        <w:rPr>
          <w:rFonts w:hint="eastAsia" w:ascii="仿宋_GB2312" w:hAnsi="仿宋_GB2312" w:eastAsia="仿宋_GB2312" w:cs="仿宋_GB2312"/>
          <w:b/>
          <w:bCs/>
          <w:color w:val="auto"/>
          <w:sz w:val="32"/>
          <w:szCs w:val="32"/>
          <w:lang w:val="en-US" w:eastAsia="zh-CN"/>
        </w:rPr>
        <w:t>4.1合作机制建设</w:t>
      </w:r>
      <w:bookmarkEnd w:id="54"/>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随着用人单位对人才的能力要求越来越重视，促使学校在进行人才培养时更加注重学生的综合素质的提高；尤其要求学生能“一人多岗、一岗多能”。因此，学校在教学中紧跟社会需求和企业对员工素质的规范要求，定期调整学校的人才培养目标，修订各专业的人才培养方案，通过制定合理实施性教学计划及有效的实施，让学生在校期间熟悉并掌握良好的职业技能，走上工作岗位后能尽快适应单位对员工的要求，增强学生在社会上的生存能力和竞争能力。</w:t>
      </w:r>
    </w:p>
    <w:p>
      <w:pPr>
        <w:pStyle w:val="3"/>
        <w:bidi w:val="0"/>
        <w:rPr>
          <w:rFonts w:hint="eastAsia"/>
        </w:rPr>
      </w:pPr>
      <w:bookmarkStart w:id="55" w:name="_Toc5701"/>
      <w:r>
        <w:rPr>
          <w:rFonts w:hint="eastAsia"/>
          <w:lang w:val="en-US" w:eastAsia="zh-CN"/>
        </w:rPr>
        <w:t>案例4-1：</w:t>
      </w:r>
      <w:r>
        <w:rPr>
          <w:rFonts w:hint="eastAsia"/>
        </w:rPr>
        <w:t>“以赛促训、赛训结合、掌握理论、强化技能”</w:t>
      </w:r>
      <w:bookmarkEnd w:id="55"/>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kern w:val="0"/>
          <w:sz w:val="32"/>
          <w:szCs w:val="32"/>
        </w:rPr>
        <w:t>学校鼓励个性发展，培养创新精神，积极引导学生参加各类技能大赛，激发学生的学习热情，提升学生的综合能力。坚持“以赛促训、赛训结合、掌握理论、强化技能”，以教育家精神锻造良匠之师，调整办学定位，突出专业特色，不断优化专业设置和人才供给结构，构建符合职业岗位要求的实践教学体系。让学生在比赛中增长知识、开拓眼界，强化学生的专业技能训练和动手能力的培养，激发学生“比、学、赶、帮、超”的激情，有效提升了学生的实践能力和创新能力，培养了学生的工匠精神</w:t>
      </w:r>
      <w:r>
        <w:rPr>
          <w:rFonts w:hint="eastAsia" w:ascii="仿宋_GB2312" w:hAnsi="仿宋_GB2312" w:eastAsia="仿宋_GB2312" w:cs="仿宋_GB2312"/>
          <w:kern w:val="0"/>
          <w:sz w:val="32"/>
          <w:szCs w:val="32"/>
          <w:lang w:eastAsia="zh-CN"/>
        </w:rPr>
        <w:t>。</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1"/>
        <w:rPr>
          <w:rFonts w:hint="eastAsia" w:ascii="仿宋_GB2312" w:hAnsi="仿宋_GB2312" w:eastAsia="仿宋_GB2312" w:cs="仿宋_GB2312"/>
          <w:b/>
          <w:bCs/>
          <w:color w:val="auto"/>
          <w:sz w:val="32"/>
          <w:szCs w:val="32"/>
          <w:lang w:val="en-US" w:eastAsia="zh-CN"/>
        </w:rPr>
      </w:pPr>
      <w:bookmarkStart w:id="56" w:name="_Toc14109"/>
      <w:r>
        <w:rPr>
          <w:rFonts w:hint="eastAsia" w:ascii="仿宋_GB2312" w:hAnsi="仿宋_GB2312" w:eastAsia="仿宋_GB2312" w:cs="仿宋_GB2312"/>
          <w:b/>
          <w:bCs/>
          <w:color w:val="auto"/>
          <w:sz w:val="32"/>
          <w:szCs w:val="32"/>
          <w:lang w:val="en-US" w:eastAsia="zh-CN"/>
        </w:rPr>
        <w:t>4.2师资队伍建设</w:t>
      </w:r>
      <w:bookmarkEnd w:id="56"/>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 xml:space="preserve">构建和完善“新入职教师、胜任型教师、骨干型教师、专家型教师”四级培养培训体系。统筹开展各级各类培训，圆满完成“国培”项目（共计 </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 xml:space="preserve"> 项，参与 2</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 xml:space="preserve"> 人、执行资金 </w:t>
      </w:r>
      <w:r>
        <w:rPr>
          <w:rFonts w:hint="eastAsia" w:ascii="仿宋_GB2312" w:hAnsi="仿宋_GB2312" w:eastAsia="仿宋_GB2312" w:cs="仿宋_GB2312"/>
          <w:color w:val="auto"/>
          <w:sz w:val="32"/>
          <w:szCs w:val="32"/>
          <w:lang w:val="en-US" w:eastAsia="zh-CN"/>
        </w:rPr>
        <w:t>19.4</w:t>
      </w:r>
      <w:r>
        <w:rPr>
          <w:rFonts w:hint="eastAsia" w:ascii="仿宋_GB2312" w:hAnsi="仿宋_GB2312" w:eastAsia="仿宋_GB2312" w:cs="仿宋_GB2312"/>
          <w:color w:val="auto"/>
          <w:sz w:val="32"/>
          <w:szCs w:val="32"/>
        </w:rPr>
        <w:t>万）、</w:t>
      </w:r>
      <w:r>
        <w:rPr>
          <w:rFonts w:hint="eastAsia" w:ascii="仿宋_GB2312" w:hAnsi="仿宋_GB2312" w:eastAsia="仿宋_GB2312" w:cs="仿宋_GB2312"/>
          <w:color w:val="auto"/>
          <w:sz w:val="32"/>
          <w:szCs w:val="32"/>
          <w:lang w:val="en-US" w:eastAsia="zh-CN"/>
        </w:rPr>
        <w:t>248人圆满完成第六周期继续教育</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244人参加并完成国家智慧教育公共服务平台的寒暑假教师研修和师德</w:t>
      </w:r>
      <w:r>
        <w:rPr>
          <w:rFonts w:hint="eastAsia" w:ascii="仿宋_GB2312" w:hAnsi="仿宋_GB2312" w:eastAsia="仿宋_GB2312" w:cs="仿宋_GB2312"/>
          <w:color w:val="auto"/>
          <w:sz w:val="32"/>
          <w:szCs w:val="32"/>
        </w:rPr>
        <w:t>培训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全面提升了学校师资队伍建设水平。</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1"/>
        <w:rPr>
          <w:rFonts w:hint="eastAsia" w:ascii="仿宋_GB2312" w:hAnsi="仿宋_GB2312" w:eastAsia="仿宋_GB2312" w:cs="仿宋_GB2312"/>
          <w:b/>
          <w:bCs/>
          <w:color w:val="auto"/>
          <w:sz w:val="32"/>
          <w:szCs w:val="32"/>
          <w:lang w:val="en-US" w:eastAsia="zh-CN"/>
        </w:rPr>
      </w:pPr>
      <w:bookmarkStart w:id="57" w:name="_Toc9913"/>
      <w:r>
        <w:rPr>
          <w:rFonts w:hint="eastAsia" w:ascii="仿宋_GB2312" w:hAnsi="仿宋_GB2312" w:eastAsia="仿宋_GB2312" w:cs="仿宋_GB2312"/>
          <w:b/>
          <w:bCs/>
          <w:color w:val="auto"/>
          <w:sz w:val="32"/>
          <w:szCs w:val="32"/>
          <w:lang w:val="en-US" w:eastAsia="zh-CN"/>
        </w:rPr>
        <w:t>4.3校企双元育人</w:t>
      </w:r>
      <w:bookmarkEnd w:id="57"/>
    </w:p>
    <w:p>
      <w:pPr>
        <w:pageBreakBefore w:val="0"/>
        <w:numPr>
          <w:ilvl w:val="0"/>
          <w:numId w:val="0"/>
        </w:numPr>
        <w:kinsoku/>
        <w:wordWrap/>
        <w:overflowPunct/>
        <w:topLinePunct w:val="0"/>
        <w:autoSpaceDE/>
        <w:autoSpaceDN/>
        <w:bidi w:val="0"/>
        <w:adjustRightInd/>
        <w:spacing w:line="240" w:lineRule="auto"/>
        <w:ind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天津市信息工程学校学生实习和就业工作方面</w:t>
      </w:r>
      <w:r>
        <w:rPr>
          <w:rFonts w:hint="eastAsia" w:ascii="仿宋_GB2312" w:hAnsi="仿宋_GB2312" w:eastAsia="仿宋_GB2312" w:cs="仿宋_GB2312"/>
          <w:color w:val="auto"/>
          <w:sz w:val="32"/>
          <w:szCs w:val="32"/>
        </w:rPr>
        <w:t>已经建立健全了校企合作机制，每个专业</w:t>
      </w:r>
      <w:r>
        <w:rPr>
          <w:rFonts w:hint="eastAsia" w:ascii="仿宋_GB2312" w:hAnsi="仿宋_GB2312" w:eastAsia="仿宋_GB2312" w:cs="仿宋_GB2312"/>
          <w:color w:val="auto"/>
          <w:sz w:val="32"/>
          <w:szCs w:val="32"/>
          <w:lang w:val="en-US" w:eastAsia="zh-CN"/>
        </w:rPr>
        <w:t>都有对接的企业接收实习学生和学生就业</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学校先后与</w:t>
      </w:r>
      <w:r>
        <w:rPr>
          <w:rFonts w:hint="eastAsia" w:ascii="仿宋_GB2312" w:hAnsi="仿宋_GB2312" w:eastAsia="仿宋_GB2312" w:cs="仿宋_GB2312"/>
          <w:color w:val="auto"/>
          <w:sz w:val="32"/>
          <w:szCs w:val="32"/>
        </w:rPr>
        <w:t>博纳方格（天津）电气设备有限公司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天津图葳数码电子科技有限公司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大厂回族自治县百旺之林幼儿园有限公司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北京怡生园国际会议中心有限公司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北京金航苑物业管理有限公司</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天津德升酒店管理有限公司京蓟圣光大酒店分公司、天津华侨城实业有限公司欢乐谷分公司、天津恒大酒店有限公司、天津市老电车酒店有限公司、天津常道盛业科技有限公司等多家企业建立校企合作关系</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在校企合作和产教融合方面积极开展各专业人才培养方案修订前期调研工作，</w:t>
      </w:r>
      <w:r>
        <w:rPr>
          <w:rFonts w:hint="eastAsia" w:ascii="仿宋_GB2312" w:hAnsi="仿宋_GB2312" w:eastAsia="仿宋_GB2312" w:cs="仿宋_GB2312"/>
          <w:color w:val="auto"/>
          <w:sz w:val="32"/>
          <w:szCs w:val="32"/>
        </w:rPr>
        <w:t>安排我校青年教师分批深入企业实践</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引入企业标准，</w:t>
      </w:r>
      <w:r>
        <w:rPr>
          <w:rFonts w:hint="eastAsia" w:ascii="仿宋_GB2312" w:hAnsi="仿宋_GB2312" w:eastAsia="仿宋_GB2312" w:cs="仿宋_GB2312"/>
          <w:color w:val="auto"/>
          <w:sz w:val="32"/>
          <w:szCs w:val="32"/>
        </w:rPr>
        <w:t>深化产教城深度融合，强化行业办学特色，增强职业技术教育适应性</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完善产教融和机制，使职业教育更具新时代特点，稳定的校企合作机制，企业标准</w:t>
      </w:r>
      <w:r>
        <w:rPr>
          <w:rFonts w:hint="eastAsia" w:ascii="仿宋_GB2312" w:hAnsi="仿宋_GB2312" w:eastAsia="仿宋_GB2312" w:cs="仿宋_GB2312"/>
          <w:color w:val="auto"/>
          <w:sz w:val="32"/>
          <w:szCs w:val="32"/>
          <w:lang w:val="en-US" w:eastAsia="zh-CN"/>
        </w:rPr>
        <w:t>的</w:t>
      </w:r>
      <w:r>
        <w:rPr>
          <w:rFonts w:hint="eastAsia" w:ascii="仿宋_GB2312" w:hAnsi="仿宋_GB2312" w:eastAsia="仿宋_GB2312" w:cs="仿宋_GB2312"/>
          <w:color w:val="auto"/>
          <w:sz w:val="32"/>
          <w:szCs w:val="32"/>
        </w:rPr>
        <w:t>引入，纵深推进</w:t>
      </w:r>
      <w:r>
        <w:rPr>
          <w:rFonts w:hint="eastAsia" w:ascii="仿宋_GB2312" w:hAnsi="仿宋_GB2312" w:eastAsia="仿宋_GB2312" w:cs="仿宋_GB2312"/>
          <w:color w:val="auto"/>
          <w:sz w:val="32"/>
          <w:szCs w:val="32"/>
          <w:lang w:val="en-US" w:eastAsia="zh-CN"/>
        </w:rPr>
        <w:t>校企合作和</w:t>
      </w:r>
      <w:r>
        <w:rPr>
          <w:rFonts w:hint="eastAsia" w:ascii="仿宋_GB2312" w:hAnsi="仿宋_GB2312" w:eastAsia="仿宋_GB2312" w:cs="仿宋_GB2312"/>
          <w:color w:val="auto"/>
          <w:sz w:val="32"/>
          <w:szCs w:val="32"/>
        </w:rPr>
        <w:t>产教融合。</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0"/>
        <w:rPr>
          <w:rFonts w:hint="eastAsia" w:ascii="仿宋_GB2312" w:hAnsi="仿宋_GB2312" w:eastAsia="仿宋_GB2312" w:cs="仿宋_GB2312"/>
          <w:b/>
          <w:bCs/>
          <w:color w:val="auto"/>
          <w:sz w:val="32"/>
          <w:szCs w:val="32"/>
          <w:lang w:val="en-US" w:eastAsia="zh-CN"/>
        </w:rPr>
      </w:pPr>
      <w:bookmarkStart w:id="58" w:name="_Toc8301"/>
      <w:r>
        <w:rPr>
          <w:rFonts w:hint="eastAsia" w:ascii="仿宋_GB2312" w:hAnsi="仿宋_GB2312" w:eastAsia="仿宋_GB2312" w:cs="仿宋_GB2312"/>
          <w:b/>
          <w:bCs/>
          <w:color w:val="auto"/>
          <w:sz w:val="32"/>
          <w:szCs w:val="32"/>
          <w:lang w:val="en-US" w:eastAsia="zh-CN"/>
        </w:rPr>
        <w:t>5.发展保障</w:t>
      </w:r>
      <w:bookmarkEnd w:id="58"/>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1"/>
        <w:rPr>
          <w:rFonts w:hint="eastAsia" w:ascii="仿宋_GB2312" w:hAnsi="仿宋_GB2312" w:eastAsia="仿宋_GB2312" w:cs="仿宋_GB2312"/>
          <w:b/>
          <w:bCs/>
          <w:color w:val="auto"/>
          <w:sz w:val="32"/>
          <w:szCs w:val="32"/>
          <w:lang w:val="en-US" w:eastAsia="zh-CN"/>
        </w:rPr>
      </w:pPr>
      <w:bookmarkStart w:id="59" w:name="_Toc23786"/>
      <w:r>
        <w:rPr>
          <w:rFonts w:hint="eastAsia" w:ascii="仿宋_GB2312" w:hAnsi="仿宋_GB2312" w:eastAsia="仿宋_GB2312" w:cs="仿宋_GB2312"/>
          <w:b/>
          <w:bCs/>
          <w:color w:val="auto"/>
          <w:sz w:val="32"/>
          <w:szCs w:val="32"/>
          <w:lang w:val="en-US" w:eastAsia="zh-CN"/>
        </w:rPr>
        <w:t>5.1党建引领</w:t>
      </w:r>
      <w:bookmarkEnd w:id="59"/>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5.1.1加强党的全面领导</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学校党委发挥政治核心作用和保障监督作用。坚持和加强党对学校工作的全面领导，以政治建设为统领，将党建工作落实到学校发展的方方面面，全面贯彻党的教育方针，坚持社会主义办学方向，落实立德树人根本任务，把党的领导贯穿办学治校、教书育人全过程，增强“四个意识”，坚定“四个自信”，坚决捍卫“两个确立”，做到“两个维护”。</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5.1.2贯彻党的教育方针</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学校党委全面领导学校工作，履行把方向、管大局、作决策、抓班子、带队伍、保落实的领导职责，支持和保证校长依法依规行使职权，确保党的教育方针和党中央决策部署在学校得到全面贯彻落实。</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5.1.3党建带动团建工作</w:t>
      </w:r>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党建带动团建工作，统一思想，提高认识，增强做好党建带团建工作的使命感和责任感。把党建工作的成熟优势转化为共青团的发展优势，真正实现党建与团建同部署、同落实、同考核、同发展。</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1"/>
        <w:rPr>
          <w:rFonts w:hint="eastAsia" w:ascii="仿宋_GB2312" w:hAnsi="仿宋_GB2312" w:eastAsia="仿宋_GB2312" w:cs="仿宋_GB2312"/>
          <w:b/>
          <w:bCs/>
          <w:color w:val="auto"/>
          <w:sz w:val="32"/>
          <w:szCs w:val="32"/>
          <w:lang w:val="en-US" w:eastAsia="zh-CN"/>
        </w:rPr>
      </w:pPr>
      <w:bookmarkStart w:id="60" w:name="_Toc24850"/>
      <w:r>
        <w:rPr>
          <w:rFonts w:hint="eastAsia" w:ascii="仿宋_GB2312" w:hAnsi="仿宋_GB2312" w:eastAsia="仿宋_GB2312" w:cs="仿宋_GB2312"/>
          <w:b/>
          <w:bCs/>
          <w:color w:val="auto"/>
          <w:sz w:val="32"/>
          <w:szCs w:val="32"/>
          <w:lang w:val="en-US" w:eastAsia="zh-CN"/>
        </w:rPr>
        <w:t>5.2政策保障</w:t>
      </w:r>
      <w:bookmarkEnd w:id="60"/>
    </w:p>
    <w:p>
      <w:pPr>
        <w:pageBreakBefore w:val="0"/>
        <w:tabs>
          <w:tab w:val="left" w:pos="958"/>
          <w:tab w:val="left" w:pos="1078"/>
        </w:tabs>
        <w:kinsoku/>
        <w:wordWrap/>
        <w:overflowPunct/>
        <w:topLinePunct w:val="0"/>
        <w:autoSpaceDE/>
        <w:autoSpaceDN/>
        <w:bidi w:val="0"/>
        <w:adjustRightInd/>
        <w:spacing w:line="240" w:lineRule="auto"/>
        <w:ind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5.2.1国家政策落实</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学校在办学中深入贯彻党的二十大精神，贯彻落实新修订的职业教育法，强化教学规范组织实施和管理，切实保证职业教育人才培养规格和质量。</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学校所开设专业均严格按照国家职业教育专业目录（2021年版）进行开设，均经过了全面的专业设置论证，在专业教学条件、专业师资队伍方面均有良好的前提保障，符合国家相关标准要求。</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人才培养方案制定实施方面，学校严格按照教育部《教育部关于职业院校专业人才培养方案制订与实施工作的指导意见》文件精神和天津市教委的统一要求进行人才培养方案的制定、修订、备案、实施工作，工作过程严谨，调研充分，起草、审定、发布、更新程序合理，能够充分对接区域经济发展和学生发展需求，培养目标遵循《职业教育专业简介》。</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5.2.2地方政策落实</w:t>
      </w:r>
    </w:p>
    <w:p>
      <w:pPr>
        <w:pageBreakBefore w:val="0"/>
        <w:numPr>
          <w:ilvl w:val="0"/>
          <w:numId w:val="0"/>
        </w:numPr>
        <w:kinsoku/>
        <w:wordWrap/>
        <w:overflowPunct/>
        <w:topLinePunct w:val="0"/>
        <w:autoSpaceDE/>
        <w:autoSpaceDN/>
        <w:bidi w:val="0"/>
        <w:adjustRightInd/>
        <w:spacing w:line="240" w:lineRule="auto"/>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u w:val="none"/>
          <w:lang w:val="en-US" w:eastAsia="zh-CN"/>
        </w:rPr>
        <w:t xml:space="preserve">   按照无烟学校标准开展无烟环境建设,改善学校环境卫生,落实公共场所无烟制度</w:t>
      </w:r>
      <w:r>
        <w:rPr>
          <w:rFonts w:hint="eastAsia" w:ascii="仿宋_GB2312" w:hAnsi="仿宋_GB2312" w:eastAsia="仿宋_GB2312" w:cs="仿宋_GB2312"/>
          <w:b w:val="0"/>
          <w:bCs w:val="0"/>
          <w:color w:val="auto"/>
          <w:sz w:val="32"/>
          <w:szCs w:val="32"/>
          <w:u w:val="none"/>
          <w:lang w:val="en" w:eastAsia="zh-CN"/>
        </w:rPr>
        <w:t>，</w:t>
      </w:r>
      <w:r>
        <w:rPr>
          <w:rFonts w:hint="eastAsia" w:ascii="仿宋_GB2312" w:hAnsi="仿宋_GB2312" w:eastAsia="仿宋_GB2312" w:cs="仿宋_GB2312"/>
          <w:b w:val="0"/>
          <w:bCs w:val="0"/>
          <w:color w:val="auto"/>
          <w:sz w:val="32"/>
          <w:szCs w:val="32"/>
          <w:u w:val="none"/>
          <w:lang w:val="en-US" w:eastAsia="zh-CN"/>
        </w:rPr>
        <w:t>在室内公共场所和工作场所设置醒目的禁烟</w:t>
      </w:r>
      <w:r>
        <w:rPr>
          <w:rFonts w:hint="eastAsia" w:ascii="仿宋_GB2312" w:hAnsi="仿宋_GB2312" w:eastAsia="仿宋_GB2312" w:cs="仿宋_GB2312"/>
          <w:b w:val="0"/>
          <w:bCs w:val="0"/>
          <w:color w:val="auto"/>
          <w:sz w:val="32"/>
          <w:szCs w:val="32"/>
          <w:u w:val="none"/>
          <w:lang w:val="en" w:eastAsia="zh-CN"/>
        </w:rPr>
        <w:t>标识，设置了控烟巡视员。</w:t>
      </w:r>
      <w:r>
        <w:rPr>
          <w:rFonts w:hint="eastAsia" w:ascii="仿宋_GB2312" w:hAnsi="仿宋_GB2312" w:eastAsia="仿宋_GB2312" w:cs="仿宋_GB2312"/>
          <w:b w:val="0"/>
          <w:bCs w:val="0"/>
          <w:color w:val="auto"/>
          <w:sz w:val="32"/>
          <w:szCs w:val="32"/>
          <w:u w:val="none"/>
          <w:lang w:val="en-US" w:eastAsia="zh-CN"/>
        </w:rPr>
        <w:t>科学合理设置垃圾分类收纳设施并规范设置宣传栏、监督栏，各种垃圾做到日产日清。学校食堂符合卫生要求，膳食结构合理，“光盘行动”、“三减三健”等宣传资料张贴有序；四是职工活动室干净整洁，</w:t>
      </w:r>
      <w:r>
        <w:rPr>
          <w:rFonts w:hint="eastAsia" w:ascii="仿宋_GB2312" w:hAnsi="仿宋_GB2312" w:eastAsia="仿宋_GB2312" w:cs="仿宋_GB2312"/>
          <w:b w:val="0"/>
          <w:bCs w:val="0"/>
          <w:color w:val="auto"/>
          <w:sz w:val="32"/>
          <w:szCs w:val="32"/>
          <w:u w:val="none"/>
          <w:lang w:val="en" w:eastAsia="zh-CN"/>
        </w:rPr>
        <w:t>积极参加体育锻炼</w:t>
      </w:r>
      <w:r>
        <w:rPr>
          <w:rFonts w:hint="eastAsia" w:ascii="仿宋_GB2312" w:hAnsi="仿宋_GB2312" w:eastAsia="仿宋_GB2312" w:cs="仿宋_GB2312"/>
          <w:b w:val="0"/>
          <w:bCs w:val="0"/>
          <w:color w:val="auto"/>
          <w:sz w:val="32"/>
          <w:szCs w:val="32"/>
          <w:u w:val="none"/>
          <w:lang w:val="en-US" w:eastAsia="zh-CN"/>
        </w:rPr>
        <w:t>宣传氛围浓厚。对学校办公区域、卫生责任区域的卫生环境每日进行彻底清理，每周进行全校环境大清理。积极组织师生深入社区开展卫生大清整，助力蓟州区创文创</w:t>
      </w:r>
      <w:r>
        <w:rPr>
          <w:rFonts w:hint="eastAsia" w:ascii="仿宋_GB2312" w:hAnsi="仿宋_GB2312" w:eastAsia="仿宋_GB2312" w:cs="仿宋_GB2312"/>
          <w:b w:val="0"/>
          <w:bCs w:val="0"/>
          <w:color w:val="auto"/>
          <w:sz w:val="32"/>
          <w:szCs w:val="32"/>
          <w:u w:val="none"/>
          <w:lang w:val="en" w:eastAsia="zh-CN"/>
        </w:rPr>
        <w:t>卫工作全面</w:t>
      </w:r>
      <w:r>
        <w:rPr>
          <w:rFonts w:hint="eastAsia" w:ascii="仿宋_GB2312" w:hAnsi="仿宋_GB2312" w:eastAsia="仿宋_GB2312" w:cs="仿宋_GB2312"/>
          <w:b w:val="0"/>
          <w:bCs w:val="0"/>
          <w:color w:val="auto"/>
          <w:sz w:val="32"/>
          <w:szCs w:val="32"/>
          <w:u w:val="none"/>
          <w:lang w:val="en-US" w:eastAsia="zh-CN"/>
        </w:rPr>
        <w:t>上水平。</w:t>
      </w:r>
    </w:p>
    <w:p>
      <w:pPr>
        <w:pageBreakBefore w:val="0"/>
        <w:numPr>
          <w:ilvl w:val="0"/>
          <w:numId w:val="0"/>
        </w:numPr>
        <w:kinsoku/>
        <w:wordWrap/>
        <w:overflowPunct/>
        <w:topLinePunct w:val="0"/>
        <w:autoSpaceDE/>
        <w:autoSpaceDN/>
        <w:bidi w:val="0"/>
        <w:adjustRightInd/>
        <w:spacing w:line="240" w:lineRule="auto"/>
        <w:ind w:leftChars="0" w:firstLine="643" w:firstLineChars="200"/>
        <w:outlineLvl w:val="2"/>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5.2.3学校治理</w:t>
      </w:r>
    </w:p>
    <w:p>
      <w:pPr>
        <w:pageBreakBefore w:val="0"/>
        <w:kinsoku/>
        <w:wordWrap/>
        <w:overflowPunct/>
        <w:topLinePunct w:val="0"/>
        <w:autoSpaceDE/>
        <w:autoSpaceDN/>
        <w:bidi w:val="0"/>
        <w:adjustRightInd/>
        <w:spacing w:line="240" w:lineRule="auto"/>
        <w:ind w:firstLine="560"/>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学校严格落实国家和天津市关于教材建设工作要求，出台了《天津市信息工程学校教材建设管理规定》，其中包含《天津市信息工程学校教材选用与使用管理办》《天津市信息工程学校教材编写管理办法》《天津市信息工程学校教材审核管理办法》，成立了学校教材建设管理工作专班和教材审查工作委员会，对教材选用和教材编写进行严格的审核把关，严格执行“凡编必审，凡选必审”工作制度，每学期均按要求开展学期教材审核、选用、备案工作。</w:t>
      </w:r>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rPr>
      </w:pPr>
      <w:r>
        <w:rPr>
          <w:rFonts w:hint="eastAsia" w:ascii="仿宋_GB2312" w:hAnsi="宋体" w:eastAsia="仿宋_GB2312"/>
          <w:color w:val="auto"/>
          <w:sz w:val="32"/>
          <w:szCs w:val="32"/>
          <w:lang w:val="en-US" w:eastAsia="zh-CN"/>
        </w:rPr>
        <w:t>学校严格按照《职业学校学生实习管理规定》和学校专业人才培养方案组织学生实习工作，方案齐备，组织有序，参加校外岗位实习学生全部签订三方实习协议，学校按要求为学生投保实习责任保险。学校建立了学生实习突发事件防控预案，多年来无学生实习责任事故发生。</w:t>
      </w:r>
    </w:p>
    <w:p>
      <w:pPr>
        <w:pageBreakBefore w:val="0"/>
        <w:kinsoku/>
        <w:wordWrap/>
        <w:overflowPunct/>
        <w:topLinePunct w:val="0"/>
        <w:autoSpaceDE/>
        <w:autoSpaceDN/>
        <w:bidi w:val="0"/>
        <w:adjustRightInd/>
        <w:spacing w:line="240" w:lineRule="auto"/>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校严格落实防范新冠肺炎的各项措施，认真落实安全责任制和责任追究制。着力做好日常各项各类安全隐患的日常排查工作，消除各种安全隐患。在全校师生的共同努力下实现了防新冠肺炎、教学、学生管理、食品、校舍、用水、用电、群体活动等工作零事故的目标。</w:t>
      </w:r>
    </w:p>
    <w:p>
      <w:pPr>
        <w:pageBreakBefore w:val="0"/>
        <w:kinsoku/>
        <w:wordWrap/>
        <w:overflowPunct/>
        <w:topLinePunct w:val="0"/>
        <w:autoSpaceDE/>
        <w:autoSpaceDN/>
        <w:bidi w:val="0"/>
        <w:adjustRightInd/>
        <w:spacing w:line="240" w:lineRule="auto"/>
        <w:ind w:firstLine="645"/>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学校以全面落实教师职业道德为基本要求，统一思想认识。各处室、系组织全体教职工填写《天津市中小学教师师德档案》签订《师德承诺书》。通过对教职工开展安全法制教育活动，不断增强全体教师的依法执教意识和水平。</w:t>
      </w:r>
    </w:p>
    <w:p>
      <w:pPr>
        <w:pageBreakBefore w:val="0"/>
        <w:numPr>
          <w:ilvl w:val="0"/>
          <w:numId w:val="0"/>
        </w:numPr>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lang w:val="en-US" w:eastAsia="zh-CN"/>
        </w:rPr>
      </w:pPr>
      <w:bookmarkStart w:id="61" w:name="_Toc17516"/>
      <w:r>
        <w:rPr>
          <w:rFonts w:hint="eastAsia" w:ascii="仿宋_GB2312" w:hAnsi="仿宋_GB2312" w:eastAsia="仿宋_GB2312" w:cs="仿宋_GB2312"/>
          <w:b/>
          <w:bCs/>
          <w:color w:val="auto"/>
          <w:sz w:val="32"/>
          <w:szCs w:val="32"/>
          <w:lang w:val="en-US" w:eastAsia="zh-CN"/>
        </w:rPr>
        <w:t>5.3条件保障</w:t>
      </w:r>
      <w:bookmarkEnd w:id="61"/>
    </w:p>
    <w:p>
      <w:pPr>
        <w:pageBreakBefore w:val="0"/>
        <w:numPr>
          <w:ilvl w:val="0"/>
          <w:numId w:val="0"/>
        </w:numPr>
        <w:kinsoku/>
        <w:wordWrap/>
        <w:overflowPunct/>
        <w:topLinePunct w:val="0"/>
        <w:autoSpaceDE/>
        <w:autoSpaceDN/>
        <w:bidi w:val="0"/>
        <w:adjustRightInd/>
        <w:spacing w:line="240" w:lineRule="auto"/>
        <w:ind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学校严格落实上级各项文件要求，为进一步规范管理制定出台了《天津市信息工程学校节水节电检查制度》《天津市信息工程学校安全隐患排查制度》《天津市信息工程学校防汛应急预案》以及疫情防控等多项制度文件。学校严格落实上级关于编外人员管理，按规定及时清退编外人员，落实政策性经费，项目投入资金足额按时拨付，对专项投入财政负担部分及学校自筹部分划入专户进行管理。</w:t>
      </w:r>
    </w:p>
    <w:p>
      <w:pPr>
        <w:pageBreakBefore w:val="0"/>
        <w:numPr>
          <w:ilvl w:val="0"/>
          <w:numId w:val="0"/>
        </w:numPr>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lang w:val="en-US" w:eastAsia="zh-CN"/>
        </w:rPr>
      </w:pPr>
      <w:bookmarkStart w:id="62" w:name="_Toc13529"/>
      <w:r>
        <w:rPr>
          <w:rFonts w:hint="eastAsia" w:ascii="仿宋_GB2312" w:hAnsi="仿宋_GB2312" w:eastAsia="仿宋_GB2312" w:cs="仿宋_GB2312"/>
          <w:b/>
          <w:bCs/>
          <w:color w:val="auto"/>
          <w:sz w:val="32"/>
          <w:szCs w:val="32"/>
          <w:lang w:val="en-US" w:eastAsia="zh-CN"/>
        </w:rPr>
        <w:t>5.4质量保障</w:t>
      </w:r>
      <w:bookmarkEnd w:id="62"/>
    </w:p>
    <w:p>
      <w:pPr>
        <w:pageBreakBefore w:val="0"/>
        <w:kinsoku/>
        <w:wordWrap/>
        <w:overflowPunct/>
        <w:topLinePunct w:val="0"/>
        <w:autoSpaceDE/>
        <w:autoSpaceDN/>
        <w:bidi w:val="0"/>
        <w:adjustRightInd/>
        <w:spacing w:line="240" w:lineRule="auto"/>
        <w:ind w:firstLine="56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bidi="ar"/>
        </w:rPr>
        <w:t>天津市信息工程</w:t>
      </w:r>
      <w:r>
        <w:rPr>
          <w:rFonts w:hint="eastAsia" w:ascii="仿宋_GB2312" w:hAnsi="仿宋_GB2312" w:eastAsia="仿宋_GB2312" w:cs="仿宋_GB2312"/>
          <w:color w:val="auto"/>
          <w:sz w:val="32"/>
          <w:szCs w:val="32"/>
          <w:lang w:val="en-US" w:eastAsia="zh-CN"/>
        </w:rPr>
        <w:t>学校教学制度完备，按照天津市教委统一部署，每年公布教育质量年报，注重学生全面发展，将学生职业道德、职业素养、技术技能水平等纳入毕业标准，无“清考”现象。</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学校对全体任课老师进行了教学检查，学期初，检查收集每位教师的教案（要求至少提前备好一周的教案），教学计划。每学期期中进修考试，从而检验老师平时的教学效果。期末，收集教师的整个学期的教案、作业批改录、教学总结、课堂教学日志，实现了教学检查的全覆盖。对好的教学方法、管理方法及时总结，对不足之处及时沟通提醒，对存在的问题加以监督改进，实现了课后必反馈、问题必改进的教学督导效果，进一步保障了学校教学质量。</w:t>
      </w:r>
    </w:p>
    <w:p>
      <w:pPr>
        <w:keepNext w:val="0"/>
        <w:keepLines w:val="0"/>
        <w:pageBreakBefore w:val="0"/>
        <w:widowControl/>
        <w:suppressLineNumbers w:val="0"/>
        <w:kinsoku/>
        <w:wordWrap/>
        <w:overflowPunct/>
        <w:topLinePunct w:val="0"/>
        <w:autoSpaceDE/>
        <w:autoSpaceDN/>
        <w:bidi w:val="0"/>
        <w:adjustRightInd/>
        <w:spacing w:line="240" w:lineRule="auto"/>
        <w:ind w:firstLine="640" w:firstLineChars="200"/>
        <w:jc w:val="left"/>
        <w:rPr>
          <w:rFonts w:hint="eastAsia" w:ascii="仿宋_GB2312" w:hAnsi="仿宋_GB2312" w:eastAsia="仿宋_GB2312" w:cs="仿宋_GB2312"/>
          <w:color w:val="auto"/>
          <w:kern w:val="0"/>
          <w:sz w:val="32"/>
          <w:szCs w:val="32"/>
          <w:lang w:val="en-US" w:eastAsia="zh-CN" w:bidi="ar"/>
        </w:rPr>
      </w:pPr>
    </w:p>
    <w:p>
      <w:pPr>
        <w:pageBreakBefore w:val="0"/>
        <w:numPr>
          <w:ilvl w:val="0"/>
          <w:numId w:val="0"/>
        </w:numPr>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bCs/>
          <w:color w:val="auto"/>
          <w:sz w:val="32"/>
          <w:szCs w:val="32"/>
          <w:lang w:val="en-US" w:eastAsia="zh-CN"/>
        </w:rPr>
      </w:pPr>
      <w:bookmarkStart w:id="63" w:name="_Toc5714"/>
      <w:r>
        <w:rPr>
          <w:rFonts w:hint="eastAsia" w:ascii="仿宋_GB2312" w:hAnsi="仿宋_GB2312" w:eastAsia="仿宋_GB2312" w:cs="仿宋_GB2312"/>
          <w:b/>
          <w:bCs/>
          <w:color w:val="auto"/>
          <w:sz w:val="32"/>
          <w:szCs w:val="32"/>
          <w:lang w:val="en-US" w:eastAsia="zh-CN"/>
        </w:rPr>
        <w:t>5.5经费保障</w:t>
      </w:r>
      <w:bookmarkEnd w:id="63"/>
    </w:p>
    <w:p>
      <w:pPr>
        <w:pageBreakBefore w:val="0"/>
        <w:numPr>
          <w:ilvl w:val="0"/>
          <w:numId w:val="0"/>
        </w:numPr>
        <w:kinsoku/>
        <w:wordWrap/>
        <w:overflowPunct/>
        <w:topLinePunct w:val="0"/>
        <w:autoSpaceDE/>
        <w:autoSpaceDN/>
        <w:bidi w:val="0"/>
        <w:adjustRightInd/>
        <w:spacing w:line="240" w:lineRule="auto"/>
        <w:ind w:leftChars="0" w:firstLine="640" w:firstLineChars="200"/>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color w:val="auto"/>
          <w:sz w:val="32"/>
          <w:szCs w:val="32"/>
          <w:lang w:val="en-US" w:eastAsia="zh-CN"/>
        </w:rPr>
        <w:t>2022年在全校职工共同努力,实现总收入 9766.34 万元，其中财政补助收入 9522.68 万元，上级补助收入0万元，事业收入（学费、住宿费）239.02 万元， 其他收入 4.64 万元。总支出 9766.34 万元，其中基本支出 9534.63 万元，无结转项目，圆满完成经济指标。</w:t>
      </w:r>
    </w:p>
    <w:p>
      <w:pPr>
        <w:pStyle w:val="3"/>
        <w:bidi w:val="0"/>
        <w:jc w:val="center"/>
        <w:rPr>
          <w:rFonts w:hint="default"/>
          <w:lang w:val="en-US" w:eastAsia="zh-CN"/>
        </w:rPr>
      </w:pPr>
      <w:bookmarkStart w:id="64" w:name="_Toc4890"/>
      <w:r>
        <w:rPr>
          <w:rFonts w:hint="eastAsia"/>
          <w:lang w:val="en-US" w:eastAsia="zh-CN"/>
        </w:rPr>
        <w:t>表5-1：重点专项资金支付情况表</w:t>
      </w:r>
      <w:bookmarkEnd w:id="64"/>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3990"/>
        <w:gridCol w:w="2010"/>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64"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序号</w:t>
            </w:r>
          </w:p>
        </w:tc>
        <w:tc>
          <w:tcPr>
            <w:tcW w:w="3990"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项目名称</w:t>
            </w:r>
          </w:p>
        </w:tc>
        <w:tc>
          <w:tcPr>
            <w:tcW w:w="2010"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金额（万元）</w:t>
            </w:r>
          </w:p>
        </w:tc>
        <w:tc>
          <w:tcPr>
            <w:tcW w:w="1555"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支付情况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64"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1</w:t>
            </w:r>
          </w:p>
        </w:tc>
        <w:tc>
          <w:tcPr>
            <w:tcW w:w="3990"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教师素质提高计划</w:t>
            </w:r>
          </w:p>
        </w:tc>
        <w:tc>
          <w:tcPr>
            <w:tcW w:w="2010"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22.71</w:t>
            </w:r>
          </w:p>
        </w:tc>
        <w:tc>
          <w:tcPr>
            <w:tcW w:w="1555"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64"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2</w:t>
            </w:r>
          </w:p>
        </w:tc>
        <w:tc>
          <w:tcPr>
            <w:tcW w:w="3990"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双优计划建设项目</w:t>
            </w:r>
          </w:p>
        </w:tc>
        <w:tc>
          <w:tcPr>
            <w:tcW w:w="2010"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189</w:t>
            </w:r>
          </w:p>
        </w:tc>
        <w:tc>
          <w:tcPr>
            <w:tcW w:w="1555" w:type="dxa"/>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64" w:type="dxa"/>
            <w:vAlign w:val="center"/>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3</w:t>
            </w:r>
          </w:p>
        </w:tc>
        <w:tc>
          <w:tcPr>
            <w:tcW w:w="3990" w:type="dxa"/>
            <w:vAlign w:val="center"/>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职业院校教师素质提高计划专项经费</w:t>
            </w:r>
          </w:p>
        </w:tc>
        <w:tc>
          <w:tcPr>
            <w:tcW w:w="2010" w:type="dxa"/>
            <w:vAlign w:val="center"/>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2</w:t>
            </w:r>
          </w:p>
        </w:tc>
        <w:tc>
          <w:tcPr>
            <w:tcW w:w="1555" w:type="dxa"/>
            <w:vAlign w:val="center"/>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64" w:type="dxa"/>
            <w:vAlign w:val="center"/>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4</w:t>
            </w:r>
          </w:p>
        </w:tc>
        <w:tc>
          <w:tcPr>
            <w:tcW w:w="3990" w:type="dxa"/>
            <w:vAlign w:val="center"/>
          </w:tcPr>
          <w:p>
            <w:pPr>
              <w:pageBreakBefore w:val="0"/>
              <w:numPr>
                <w:ilvl w:val="0"/>
                <w:numId w:val="0"/>
              </w:numPr>
              <w:kinsoku/>
              <w:wordWrap/>
              <w:overflowPunct/>
              <w:topLinePunct w:val="0"/>
              <w:autoSpaceDE/>
              <w:autoSpaceDN/>
              <w:bidi w:val="0"/>
              <w:adjustRightInd/>
              <w:spacing w:line="240" w:lineRule="auto"/>
              <w:jc w:val="center"/>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职业院校教师素质提高计划专项经费</w:t>
            </w:r>
          </w:p>
        </w:tc>
        <w:tc>
          <w:tcPr>
            <w:tcW w:w="2010" w:type="dxa"/>
            <w:vAlign w:val="center"/>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18</w:t>
            </w:r>
          </w:p>
        </w:tc>
        <w:tc>
          <w:tcPr>
            <w:tcW w:w="1555" w:type="dxa"/>
            <w:vAlign w:val="center"/>
          </w:tcPr>
          <w:p>
            <w:pPr>
              <w:pageBreakBefore w:val="0"/>
              <w:numPr>
                <w:ilvl w:val="0"/>
                <w:numId w:val="0"/>
              </w:numPr>
              <w:kinsoku/>
              <w:wordWrap/>
              <w:overflowPunct/>
              <w:topLinePunct w:val="0"/>
              <w:autoSpaceDE/>
              <w:autoSpaceDN/>
              <w:bidi w:val="0"/>
              <w:adjustRightInd/>
              <w:spacing w:line="240" w:lineRule="auto"/>
              <w:jc w:val="center"/>
              <w:rPr>
                <w:rFonts w:hint="default"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完成</w:t>
            </w:r>
          </w:p>
        </w:tc>
      </w:tr>
    </w:tbl>
    <w:p>
      <w:pPr>
        <w:pageBreakBefore w:val="0"/>
        <w:numPr>
          <w:ilvl w:val="0"/>
          <w:numId w:val="0"/>
        </w:numPr>
        <w:kinsoku/>
        <w:wordWrap/>
        <w:overflowPunct/>
        <w:topLinePunct w:val="0"/>
        <w:autoSpaceDE/>
        <w:autoSpaceDN/>
        <w:bidi w:val="0"/>
        <w:adjustRightInd/>
        <w:spacing w:line="240" w:lineRule="auto"/>
        <w:ind w:leftChars="0" w:firstLine="640" w:firstLineChars="200"/>
        <w:rPr>
          <w:rFonts w:hint="eastAsia" w:ascii="仿宋_GB2312" w:hAnsi="仿宋_GB2312" w:eastAsia="仿宋_GB2312" w:cs="仿宋_GB2312"/>
          <w:color w:val="auto"/>
          <w:sz w:val="32"/>
          <w:szCs w:val="32"/>
          <w:lang w:val="en-US" w:eastAsia="zh-CN"/>
        </w:rPr>
      </w:pPr>
    </w:p>
    <w:p>
      <w:pPr>
        <w:pageBreakBefore w:val="0"/>
        <w:numPr>
          <w:ilvl w:val="0"/>
          <w:numId w:val="0"/>
        </w:numPr>
        <w:kinsoku/>
        <w:wordWrap/>
        <w:overflowPunct/>
        <w:topLinePunct w:val="0"/>
        <w:autoSpaceDE/>
        <w:autoSpaceDN/>
        <w:bidi w:val="0"/>
        <w:adjustRightInd/>
        <w:spacing w:line="240" w:lineRule="auto"/>
        <w:ind w:firstLine="643" w:firstLineChars="200"/>
        <w:outlineLvl w:val="0"/>
        <w:rPr>
          <w:rFonts w:hint="eastAsia" w:ascii="仿宋_GB2312" w:hAnsi="仿宋_GB2312" w:eastAsia="仿宋_GB2312" w:cs="仿宋_GB2312"/>
          <w:b/>
          <w:bCs/>
          <w:color w:val="auto"/>
          <w:sz w:val="32"/>
          <w:szCs w:val="32"/>
          <w:lang w:val="en-US" w:eastAsia="zh-CN"/>
        </w:rPr>
      </w:pPr>
      <w:bookmarkStart w:id="65" w:name="_Toc19678"/>
      <w:r>
        <w:rPr>
          <w:rFonts w:hint="eastAsia" w:ascii="仿宋_GB2312" w:hAnsi="仿宋_GB2312" w:eastAsia="仿宋_GB2312" w:cs="仿宋_GB2312"/>
          <w:b/>
          <w:bCs/>
          <w:color w:val="auto"/>
          <w:sz w:val="32"/>
          <w:szCs w:val="32"/>
          <w:lang w:val="en-US" w:eastAsia="zh-CN"/>
        </w:rPr>
        <w:t>6.面临挑战</w:t>
      </w:r>
      <w:bookmarkEnd w:id="65"/>
    </w:p>
    <w:p>
      <w:pPr>
        <w:pageBreakBefore w:val="0"/>
        <w:kinsoku/>
        <w:wordWrap/>
        <w:overflowPunct/>
        <w:topLinePunct w:val="0"/>
        <w:autoSpaceDE/>
        <w:autoSpaceDN/>
        <w:bidi w:val="0"/>
        <w:adjustRightInd/>
        <w:spacing w:line="240" w:lineRule="auto"/>
        <w:ind w:firstLine="643" w:firstLineChars="200"/>
        <w:jc w:val="left"/>
        <w:outlineLvl w:val="1"/>
        <w:rPr>
          <w:rFonts w:hint="eastAsia" w:ascii="仿宋_GB2312" w:hAnsi="仿宋_GB2312" w:eastAsia="仿宋_GB2312" w:cs="仿宋_GB2312"/>
          <w:color w:val="auto"/>
          <w:kern w:val="0"/>
          <w:sz w:val="32"/>
          <w:szCs w:val="32"/>
        </w:rPr>
      </w:pPr>
      <w:bookmarkStart w:id="66" w:name="_Toc5163"/>
      <w:r>
        <w:rPr>
          <w:rFonts w:hint="eastAsia" w:ascii="仿宋_GB2312" w:hAnsi="仿宋_GB2312" w:eastAsia="仿宋_GB2312" w:cs="仿宋_GB2312"/>
          <w:b/>
          <w:bCs/>
          <w:color w:val="auto"/>
          <w:kern w:val="0"/>
          <w:sz w:val="32"/>
          <w:szCs w:val="32"/>
          <w:lang w:val="en-US" w:eastAsia="zh-CN"/>
        </w:rPr>
        <w:t>6.1</w:t>
      </w:r>
      <w:r>
        <w:rPr>
          <w:rFonts w:hint="eastAsia" w:ascii="仿宋_GB2312" w:hAnsi="仿宋_GB2312" w:eastAsia="仿宋_GB2312" w:cs="仿宋_GB2312"/>
          <w:b/>
          <w:bCs/>
          <w:color w:val="auto"/>
          <w:kern w:val="0"/>
          <w:sz w:val="32"/>
          <w:szCs w:val="32"/>
        </w:rPr>
        <w:t>存在问题</w:t>
      </w:r>
      <w:bookmarkEnd w:id="66"/>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目前，教师总数符合学校发展要求，但教师结构不合理，专业教师相对缺乏，</w:t>
      </w:r>
      <w:r>
        <w:rPr>
          <w:rFonts w:hint="eastAsia" w:ascii="仿宋_GB2312" w:hAnsi="仿宋_GB2312" w:eastAsia="仿宋_GB2312" w:cs="仿宋_GB2312"/>
          <w:color w:val="auto"/>
          <w:kern w:val="0"/>
          <w:sz w:val="32"/>
          <w:szCs w:val="32"/>
          <w:lang w:val="en-US" w:eastAsia="zh-CN"/>
        </w:rPr>
        <w:t>年龄结构老化，活力创新不足，</w:t>
      </w:r>
      <w:r>
        <w:rPr>
          <w:rFonts w:hint="eastAsia" w:ascii="仿宋_GB2312" w:hAnsi="仿宋_GB2312" w:eastAsia="仿宋_GB2312" w:cs="仿宋_GB2312"/>
          <w:color w:val="auto"/>
          <w:kern w:val="0"/>
          <w:sz w:val="32"/>
          <w:szCs w:val="32"/>
        </w:rPr>
        <w:t>师资队伍结构有待优化，层次、素质有待进一步提升。近几年，学校虽然通过专业建设使学校的设备设施有了大幅提升，但随着天津市技能大赛和国家级技能大赛的不断完善，学校的专业设备适应比赛需求仍有较大难度。特别是在汽车运用与维修专业国家首批“1+x”试点院校工作中，专业设备缺口较大，仍急需补充提升。</w:t>
      </w:r>
    </w:p>
    <w:p>
      <w:pPr>
        <w:pageBreakBefore w:val="0"/>
        <w:kinsoku/>
        <w:wordWrap/>
        <w:overflowPunct/>
        <w:topLinePunct w:val="0"/>
        <w:autoSpaceDE/>
        <w:autoSpaceDN/>
        <w:bidi w:val="0"/>
        <w:adjustRightInd/>
        <w:spacing w:line="240" w:lineRule="auto"/>
        <w:ind w:firstLine="643" w:firstLineChars="200"/>
        <w:outlineLvl w:val="1"/>
        <w:rPr>
          <w:rFonts w:hint="eastAsia" w:ascii="仿宋_GB2312" w:hAnsi="仿宋_GB2312" w:eastAsia="仿宋_GB2312" w:cs="仿宋_GB2312"/>
          <w:b/>
          <w:color w:val="auto"/>
          <w:kern w:val="0"/>
          <w:sz w:val="32"/>
          <w:szCs w:val="32"/>
          <w:lang w:val="en-US"/>
        </w:rPr>
      </w:pPr>
      <w:bookmarkStart w:id="67" w:name="_Toc4516"/>
      <w:r>
        <w:rPr>
          <w:rFonts w:hint="eastAsia" w:ascii="仿宋_GB2312" w:hAnsi="仿宋_GB2312" w:eastAsia="仿宋_GB2312" w:cs="仿宋_GB2312"/>
          <w:b/>
          <w:color w:val="auto"/>
          <w:kern w:val="0"/>
          <w:sz w:val="32"/>
          <w:szCs w:val="32"/>
          <w:lang w:val="en-US" w:eastAsia="zh-CN"/>
        </w:rPr>
        <w:t>6</w:t>
      </w:r>
      <w:r>
        <w:rPr>
          <w:rFonts w:hint="eastAsia" w:ascii="仿宋_GB2312" w:hAnsi="仿宋_GB2312" w:eastAsia="仿宋_GB2312" w:cs="仿宋_GB2312"/>
          <w:b/>
          <w:color w:val="auto"/>
          <w:kern w:val="0"/>
          <w:sz w:val="32"/>
          <w:szCs w:val="32"/>
        </w:rPr>
        <w:t>.</w:t>
      </w:r>
      <w:r>
        <w:rPr>
          <w:rFonts w:hint="eastAsia" w:ascii="仿宋_GB2312" w:hAnsi="仿宋_GB2312" w:eastAsia="仿宋_GB2312" w:cs="仿宋_GB2312"/>
          <w:b/>
          <w:color w:val="auto"/>
          <w:kern w:val="0"/>
          <w:sz w:val="32"/>
          <w:szCs w:val="32"/>
          <w:lang w:val="en-US" w:eastAsia="zh-CN"/>
        </w:rPr>
        <w:t>2相应对策</w:t>
      </w:r>
      <w:bookmarkEnd w:id="67"/>
    </w:p>
    <w:p>
      <w:pPr>
        <w:pageBreakBefore w:val="0"/>
        <w:kinsoku/>
        <w:wordWrap/>
        <w:overflowPunct/>
        <w:topLinePunct w:val="0"/>
        <w:autoSpaceDE/>
        <w:autoSpaceDN/>
        <w:bidi w:val="0"/>
        <w:adjustRightInd/>
        <w:spacing w:line="240" w:lineRule="auto"/>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争取上级主管部门支持，引进具有行业、企业生产经验的优秀人才加入教师队伍，加大专业教师招聘力度，使专任教师队伍职称比例、年龄结构逐步趋于合理，形成梯队。进一步加大“双师型”教师培养力度，完善规章制度，加强校企合作，刚性要求专业教师到生产服务一线参加专业实践并确实具有相应动手实践能力。进一步提高教师技能水平，提升参加技能大赛获奖面和层次、等级。聘请更多的企业专业技术人员、高技能人才担任兼职教师。争取上级主管部门支持，尽快改善学校专业教学设备，满足教学需求。</w:t>
      </w: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r>
        <w:rPr>
          <w:rFonts w:hint="eastAsia"/>
          <w:lang w:val="en-US" w:eastAsia="zh-CN"/>
        </w:rPr>
        <w:t>附表1：</w:t>
      </w:r>
    </w:p>
    <w:tbl>
      <w:tblPr>
        <w:tblStyle w:val="14"/>
        <w:tblW w:w="833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39"/>
        <w:gridCol w:w="1862"/>
        <w:gridCol w:w="1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2" w:hRule="atLeast"/>
        </w:trPr>
        <w:tc>
          <w:tcPr>
            <w:tcW w:w="833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人才培养质量计分卡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指标</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毕业生人数</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毕业去向落实人数</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其中：毕业生升学人数</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升入本科人数</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毕业生本省去向落实率</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月收入</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毕业生面向三次产业就业人数</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其中：面向第一产业</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面向第二产业</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面向第三产业</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自主创业率</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4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毕业三年晋升比例</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10.17</w:t>
            </w:r>
          </w:p>
        </w:tc>
      </w:tr>
    </w:tbl>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r>
        <w:rPr>
          <w:rFonts w:hint="eastAsia"/>
          <w:lang w:val="en-US" w:eastAsia="zh-CN"/>
        </w:rPr>
        <w:t>附表2：</w:t>
      </w:r>
    </w:p>
    <w:tbl>
      <w:tblPr>
        <w:tblStyle w:val="14"/>
        <w:tblW w:w="83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45"/>
        <w:gridCol w:w="1830"/>
        <w:gridCol w:w="1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3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教学资源表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指标</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生师比</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双师素质专任教师比例</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高级专业技术职务专任教师比例</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专业群数量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教学计划内课程总数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教学计划内课程总数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学时</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教学计划内课程-课证融通课程数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教学计划内课程-课证融通课程数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学时</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教学计划内课程-网络教学课程数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教学计划内课程-网络教学课程数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学时</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专业教学资源库数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其中：国家级数量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省级数量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校级数量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在线精品课程数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在线精品课程数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学时</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在线精品课程课均学生数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其中：国家级数量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省级数量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校级数量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虚拟仿真实训基地数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其中：国家级数量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省级数量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校级数量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编写教材数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其中：国家规划教材数量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校企合作编写教材数量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新形态教材数量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接入国家智慧教育平台数量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互联网出口带宽</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Mbps</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校园网主干最大带宽</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Mbps</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生均校内实践教学工位数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个/生</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生均教学科研仪器设备值</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元/生</w:t>
            </w:r>
          </w:p>
        </w:tc>
        <w:tc>
          <w:tcPr>
            <w:tcW w:w="1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7477.96</w:t>
            </w:r>
          </w:p>
        </w:tc>
      </w:tr>
    </w:tbl>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eastAsia"/>
          <w:lang w:val="en-US" w:eastAsia="zh-CN"/>
        </w:rPr>
      </w:pPr>
    </w:p>
    <w:p>
      <w:pPr>
        <w:pageBreakBefore w:val="0"/>
        <w:kinsoku/>
        <w:wordWrap/>
        <w:overflowPunct/>
        <w:topLinePunct w:val="0"/>
        <w:autoSpaceDE/>
        <w:autoSpaceDN/>
        <w:bidi w:val="0"/>
        <w:adjustRightInd/>
        <w:spacing w:line="240" w:lineRule="auto"/>
        <w:rPr>
          <w:rFonts w:hint="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r>
        <w:rPr>
          <w:rFonts w:hint="eastAsia"/>
          <w:lang w:val="en-US" w:eastAsia="zh-CN"/>
        </w:rPr>
        <w:t>附表3：</w:t>
      </w:r>
    </w:p>
    <w:tbl>
      <w:tblPr>
        <w:tblStyle w:val="14"/>
        <w:tblW w:w="83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16"/>
        <w:gridCol w:w="1800"/>
        <w:gridCol w:w="315"/>
        <w:gridCol w:w="1365"/>
        <w:gridCol w:w="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81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落实政策表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指标</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全日制在校生人数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年生均财政拨款水平</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年财政专项拨款</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教职员工额定编制数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教职工总数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其中：专任教师总数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思政课教师数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体育课专任教师数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美育课专任教师数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辅导员人数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班主任人数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参加国家学生体质健康标准测试人数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其中：学生体质测评合格率</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职业技能等级证书（含职业资格证书）获取人数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企业提供的校内实践教学设备值</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与企业共建开放型区域产教融合实践中心</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聘请行业导师人数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其中：聘请大国工匠、劳动模范人数</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行业导师年课时总量</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课时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年支付行业导师课酬</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385"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年实习专项经费</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5" w:type="dxa"/>
          <w:trHeight w:val="56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其中：年实习责任保险经费</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8391" w:type="dxa"/>
            <w:gridSpan w:val="5"/>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落实政策表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指标</w:t>
            </w:r>
          </w:p>
        </w:tc>
        <w:tc>
          <w:tcPr>
            <w:tcW w:w="18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875"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全日制在校生人数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年生均财政拨款水平</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元</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年财政专项拨款</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教职员工额定编制数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教职工总数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其中：专任教师总数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思政课教师数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体育课专任教师数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美育课专任教师数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辅导员人数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班主任人数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参加国家学生体质健康标准测试人数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其中：学生体质测评合格率</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职业技能等级证书（含职业资格证书）获取人数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企业提供的校内实践教学设备值</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与企业共建开放型区域产教融合实践中心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聘请行业导师人数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其中：聘请大国工匠、劳动模范人数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行业导师年课时总量</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课时</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年支付行业导师课酬</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年实习专项经费</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47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其中：年实习责任保险经费</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8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r>
    </w:tbl>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eastAsia"/>
          <w:lang w:val="en-US" w:eastAsia="zh-CN"/>
        </w:rPr>
      </w:pPr>
      <w:r>
        <w:rPr>
          <w:rFonts w:hint="eastAsia"/>
          <w:lang w:val="en-US" w:eastAsia="zh-CN"/>
        </w:rPr>
        <w:t>附表4：</w:t>
      </w:r>
    </w:p>
    <w:tbl>
      <w:tblPr>
        <w:tblStyle w:val="14"/>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80"/>
        <w:gridCol w:w="1817"/>
        <w:gridCol w:w="17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82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Calibri" w:hAnsi="Calibri" w:eastAsia="宋体"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服务贡献表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8"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指标</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毕业生就业人数</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其中：A类：留在当地就业</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B类：到西部和东北地区就业</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C类：到中小微企业等基层就业</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D类：到大型企业就业</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横向技术服务到款额</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横向技术服务产生的经济效益</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纵向科研经费到款额</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技术产权交易收入</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知识产权项目数</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其中：专利授权数量</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发明专利授权数量</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专利转让数量</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专利成果转化到款额</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非学历培训项目数</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非学历培训学时</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学时</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公益项目培训学时</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学时</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非学历培训到账经费</w:t>
            </w:r>
          </w:p>
        </w:tc>
        <w:tc>
          <w:tcPr>
            <w:tcW w:w="18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r>
    </w:tbl>
    <w:p>
      <w:pPr>
        <w:pageBreakBefore w:val="0"/>
        <w:kinsoku/>
        <w:wordWrap/>
        <w:overflowPunct/>
        <w:topLinePunct w:val="0"/>
        <w:autoSpaceDE/>
        <w:autoSpaceDN/>
        <w:bidi w:val="0"/>
        <w:adjustRightInd/>
        <w:spacing w:line="240" w:lineRule="auto"/>
        <w:rPr>
          <w:rFonts w:hint="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r>
        <w:rPr>
          <w:rFonts w:hint="eastAsia"/>
          <w:lang w:val="en-US" w:eastAsia="zh-CN"/>
        </w:rPr>
        <w:t>附表5：:</w:t>
      </w:r>
    </w:p>
    <w:tbl>
      <w:tblPr>
        <w:tblStyle w:val="14"/>
        <w:tblW w:w="83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591"/>
        <w:gridCol w:w="945"/>
        <w:gridCol w:w="1170"/>
        <w:gridCol w:w="1770"/>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8376"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满意度调查表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指标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值</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调查方式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调查人次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在校生满意度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82.65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其中：课堂育人满意度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84.05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课外育人满意度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83.35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思想政治课教学满意度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87.87</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公共基础课（不含思想政治课）教学满意度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85.81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专业课教学满意度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86.67</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毕业生满意度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其中：应届毕业生满意度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毕业三年内毕业生满意度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教职工满意度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98.82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用人单位满意度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家长满意度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99.23</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网络问卷调查</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1441</w:t>
            </w:r>
          </w:p>
        </w:tc>
      </w:tr>
    </w:tbl>
    <w:p>
      <w:pPr>
        <w:pageBreakBefore w:val="0"/>
        <w:kinsoku/>
        <w:wordWrap/>
        <w:overflowPunct/>
        <w:topLinePunct w:val="0"/>
        <w:autoSpaceDE/>
        <w:autoSpaceDN/>
        <w:bidi w:val="0"/>
        <w:adjustRightInd/>
        <w:spacing w:line="240" w:lineRule="auto"/>
        <w:rPr>
          <w:rFonts w:hint="default" w:eastAsiaTheme="minorEastAsia"/>
          <w:lang w:val="en-US" w:eastAsia="zh-CN"/>
        </w:rPr>
      </w:pPr>
    </w:p>
    <w:p>
      <w:pPr>
        <w:pageBreakBefore w:val="0"/>
        <w:kinsoku/>
        <w:wordWrap/>
        <w:overflowPunct/>
        <w:topLinePunct w:val="0"/>
        <w:autoSpaceDE/>
        <w:autoSpaceDN/>
        <w:bidi w:val="0"/>
        <w:adjustRightInd/>
        <w:spacing w:line="240" w:lineRule="auto"/>
        <w:rPr>
          <w:rFonts w:hint="default" w:eastAsiaTheme="minorEastAsia"/>
          <w:lang w:val="en-US" w:eastAsia="zh-CN"/>
        </w:rPr>
      </w:pPr>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-77470</wp:posOffset>
              </wp:positionV>
              <wp:extent cx="436880" cy="31369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36880"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6.1pt;height:24.7pt;width:34.4pt;mso-position-horizontal:outside;mso-position-horizontal-relative:margin;z-index:251660288;mso-width-relative:page;mso-height-relative:page;" filled="f" stroked="f" coordsize="21600,21600" o:gfxdata="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Spl+71gAAAAYBAAAPAAAAAAAAAAEAIAAAACIAAABkcnMvZG93bnJl&#10;di54bWxQSwECFAAUAAAACACHTuJAQaZpgjgCAABjBAAADgAAAAAAAAABACAAAAAlAQAAZHJzL2Uy&#10;b0RvYy54bWxQSwUGAAAAAAYABgBZAQAAzwUAAAAA&#10;">
              <v:fill on="f" focussize="0,0"/>
              <v:stroke on="f" weight="0.5pt"/>
              <v:imagedata o:title=""/>
              <o:lock v:ext="edit" aspectratio="f"/>
              <v:textbox inset="0mm,0mm,0mm,0mm">
                <w:txbxContent>
                  <w:p>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right" w:pos="8425"/>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425"/>
      </w:tabs>
      <w:jc w:val="left"/>
    </w:pPr>
    <w:r>
      <w:rPr>
        <w:rFonts w:hint="eastAsia"/>
      </w:rPr>
      <w:drawing>
        <wp:anchor distT="0" distB="0" distL="114300" distR="114300" simplePos="0" relativeHeight="251661312" behindDoc="1" locked="0" layoutInCell="1" allowOverlap="1">
          <wp:simplePos x="0" y="0"/>
          <wp:positionH relativeFrom="column">
            <wp:posOffset>46355</wp:posOffset>
          </wp:positionH>
          <wp:positionV relativeFrom="paragraph">
            <wp:posOffset>-126365</wp:posOffset>
          </wp:positionV>
          <wp:extent cx="1675130" cy="283210"/>
          <wp:effectExtent l="0" t="0" r="1270" b="2540"/>
          <wp:wrapThrough wrapText="bothSides">
            <wp:wrapPolygon>
              <wp:start x="246" y="0"/>
              <wp:lineTo x="0" y="4359"/>
              <wp:lineTo x="0" y="17435"/>
              <wp:lineTo x="246" y="20341"/>
              <wp:lineTo x="2948" y="20341"/>
              <wp:lineTo x="21371" y="15982"/>
              <wp:lineTo x="21371" y="1453"/>
              <wp:lineTo x="2948" y="0"/>
              <wp:lineTo x="246" y="0"/>
            </wp:wrapPolygon>
          </wp:wrapThrough>
          <wp:docPr id="12" name="图片 12" descr="天信logo.cdr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天信logo.cdr_0001"/>
                  <pic:cNvPicPr>
                    <a:picLocks noChangeAspect="1"/>
                  </pic:cNvPicPr>
                </pic:nvPicPr>
                <pic:blipFill>
                  <a:blip r:embed="rId1"/>
                  <a:stretch>
                    <a:fillRect/>
                  </a:stretch>
                </pic:blipFill>
                <pic:spPr>
                  <a:xfrm>
                    <a:off x="0" y="0"/>
                    <a:ext cx="1675130" cy="283210"/>
                  </a:xfrm>
                  <a:prstGeom prst="rect">
                    <a:avLst/>
                  </a:prstGeom>
                </pic:spPr>
              </pic:pic>
            </a:graphicData>
          </a:graphic>
        </wp:anchor>
      </w:drawing>
    </w:r>
    <w:r>
      <w:rPr>
        <w:rFonts w:hint="eastAsia"/>
        <w:lang w:eastAsia="zh-CN"/>
      </w:rPr>
      <w:tab/>
    </w:r>
    <w:r>
      <w:rPr>
        <w:rFonts w:hint="eastAsia"/>
        <w:lang w:eastAsia="zh-CN"/>
      </w:rPr>
      <w:tab/>
    </w:r>
    <w:r>
      <w:rPr>
        <w:rFonts w:hint="eastAsia"/>
      </w:rPr>
      <w:t xml:space="preserve"> 20</w:t>
    </w:r>
    <w:r>
      <w:rPr>
        <w:rFonts w:hint="eastAsia"/>
        <w:lang w:val="en-US" w:eastAsia="zh-CN"/>
      </w:rPr>
      <w:t>23</w:t>
    </w:r>
    <w:r>
      <w:rPr>
        <w:rFonts w:hint="eastAsia"/>
      </w:rPr>
      <w:t>年度中等职业学校教育质量年度报告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jMTI5Y2ZhODZkMzhiM2JkNWM0OWJlYzJlZmY4ODQifQ=="/>
    <w:docVar w:name="KSO_WPS_MARK_KEY" w:val="1863020a-2eb7-4c09-8417-eefaf15e6512"/>
  </w:docVars>
  <w:rsids>
    <w:rsidRoot w:val="00000000"/>
    <w:rsid w:val="00844285"/>
    <w:rsid w:val="013164D2"/>
    <w:rsid w:val="019D1CF0"/>
    <w:rsid w:val="01A324E9"/>
    <w:rsid w:val="022C5DD7"/>
    <w:rsid w:val="03AF1619"/>
    <w:rsid w:val="03BA0D49"/>
    <w:rsid w:val="03C338A7"/>
    <w:rsid w:val="03D05CC4"/>
    <w:rsid w:val="054B5371"/>
    <w:rsid w:val="06A51CFC"/>
    <w:rsid w:val="07684003"/>
    <w:rsid w:val="07D50BE2"/>
    <w:rsid w:val="0A520C88"/>
    <w:rsid w:val="0AD560C9"/>
    <w:rsid w:val="0C7F4BCD"/>
    <w:rsid w:val="0CBC64F0"/>
    <w:rsid w:val="0DB5389E"/>
    <w:rsid w:val="0EFE53CD"/>
    <w:rsid w:val="0F1F6FB9"/>
    <w:rsid w:val="0F8D722A"/>
    <w:rsid w:val="100F6F32"/>
    <w:rsid w:val="11595C8B"/>
    <w:rsid w:val="121B5633"/>
    <w:rsid w:val="132B3387"/>
    <w:rsid w:val="1405221A"/>
    <w:rsid w:val="16185639"/>
    <w:rsid w:val="163E3F37"/>
    <w:rsid w:val="17B764D3"/>
    <w:rsid w:val="18CB2CD7"/>
    <w:rsid w:val="19861EDA"/>
    <w:rsid w:val="19FC0EEA"/>
    <w:rsid w:val="1C252021"/>
    <w:rsid w:val="1CD96B58"/>
    <w:rsid w:val="1E26419D"/>
    <w:rsid w:val="202076CF"/>
    <w:rsid w:val="204F3443"/>
    <w:rsid w:val="21D30A19"/>
    <w:rsid w:val="224D17EF"/>
    <w:rsid w:val="22E0373F"/>
    <w:rsid w:val="23CD52D2"/>
    <w:rsid w:val="23E97369"/>
    <w:rsid w:val="23F76998"/>
    <w:rsid w:val="25181B85"/>
    <w:rsid w:val="25BA1A2C"/>
    <w:rsid w:val="269303B2"/>
    <w:rsid w:val="26ED6585"/>
    <w:rsid w:val="27F55611"/>
    <w:rsid w:val="28105C1C"/>
    <w:rsid w:val="284A35A6"/>
    <w:rsid w:val="298A6381"/>
    <w:rsid w:val="2BA0158F"/>
    <w:rsid w:val="2C0C76D5"/>
    <w:rsid w:val="2D441559"/>
    <w:rsid w:val="2DBA2F11"/>
    <w:rsid w:val="2E945C63"/>
    <w:rsid w:val="2EDE1CD1"/>
    <w:rsid w:val="3115220C"/>
    <w:rsid w:val="320273D7"/>
    <w:rsid w:val="32D12CEF"/>
    <w:rsid w:val="3392017C"/>
    <w:rsid w:val="33F82B82"/>
    <w:rsid w:val="35EF10DC"/>
    <w:rsid w:val="364F0301"/>
    <w:rsid w:val="36D668E1"/>
    <w:rsid w:val="37CD13CC"/>
    <w:rsid w:val="39A20F8D"/>
    <w:rsid w:val="3A325BDD"/>
    <w:rsid w:val="3A614714"/>
    <w:rsid w:val="3B7873C7"/>
    <w:rsid w:val="3BC60A9D"/>
    <w:rsid w:val="3C165EA1"/>
    <w:rsid w:val="3C797AF3"/>
    <w:rsid w:val="3CC705D5"/>
    <w:rsid w:val="3E287A22"/>
    <w:rsid w:val="3E740EBA"/>
    <w:rsid w:val="3E911908"/>
    <w:rsid w:val="3EDC25BB"/>
    <w:rsid w:val="414C12B2"/>
    <w:rsid w:val="41C55F0F"/>
    <w:rsid w:val="41EC6E66"/>
    <w:rsid w:val="42A6360C"/>
    <w:rsid w:val="42FE61D5"/>
    <w:rsid w:val="44217077"/>
    <w:rsid w:val="44D42F61"/>
    <w:rsid w:val="45AF0A29"/>
    <w:rsid w:val="461F5BAF"/>
    <w:rsid w:val="465D0B96"/>
    <w:rsid w:val="47937325"/>
    <w:rsid w:val="49C15228"/>
    <w:rsid w:val="49C6450C"/>
    <w:rsid w:val="49E06B66"/>
    <w:rsid w:val="4AB002B4"/>
    <w:rsid w:val="4D7762D0"/>
    <w:rsid w:val="4D93478D"/>
    <w:rsid w:val="4DB210B7"/>
    <w:rsid w:val="4E01203E"/>
    <w:rsid w:val="4E281379"/>
    <w:rsid w:val="4E4D29B6"/>
    <w:rsid w:val="4E5368A2"/>
    <w:rsid w:val="4F5D5052"/>
    <w:rsid w:val="4FC17F82"/>
    <w:rsid w:val="500A79A0"/>
    <w:rsid w:val="50153434"/>
    <w:rsid w:val="501E6ED7"/>
    <w:rsid w:val="52AF742B"/>
    <w:rsid w:val="53B67427"/>
    <w:rsid w:val="54372316"/>
    <w:rsid w:val="548C3B38"/>
    <w:rsid w:val="54D54E13"/>
    <w:rsid w:val="55FE507E"/>
    <w:rsid w:val="57C717C9"/>
    <w:rsid w:val="580F0EBD"/>
    <w:rsid w:val="584B7EEB"/>
    <w:rsid w:val="59382420"/>
    <w:rsid w:val="59943D66"/>
    <w:rsid w:val="5C1652AA"/>
    <w:rsid w:val="5C1967A5"/>
    <w:rsid w:val="5C207B33"/>
    <w:rsid w:val="5C321615"/>
    <w:rsid w:val="5C861BA5"/>
    <w:rsid w:val="5DD0245C"/>
    <w:rsid w:val="6322668F"/>
    <w:rsid w:val="6378705F"/>
    <w:rsid w:val="64406934"/>
    <w:rsid w:val="64BD6D2C"/>
    <w:rsid w:val="65066D70"/>
    <w:rsid w:val="66937A85"/>
    <w:rsid w:val="66C73FBB"/>
    <w:rsid w:val="66EF4CD2"/>
    <w:rsid w:val="66F81DD8"/>
    <w:rsid w:val="673F743B"/>
    <w:rsid w:val="68BF4AEB"/>
    <w:rsid w:val="694035C3"/>
    <w:rsid w:val="69747710"/>
    <w:rsid w:val="6B1E5825"/>
    <w:rsid w:val="6BCA388B"/>
    <w:rsid w:val="6C312CA8"/>
    <w:rsid w:val="6CCC7AF4"/>
    <w:rsid w:val="6CE45172"/>
    <w:rsid w:val="6E4D01FC"/>
    <w:rsid w:val="6F557761"/>
    <w:rsid w:val="6FDB438A"/>
    <w:rsid w:val="70051EE4"/>
    <w:rsid w:val="7145465B"/>
    <w:rsid w:val="71D21478"/>
    <w:rsid w:val="73690D05"/>
    <w:rsid w:val="737730B7"/>
    <w:rsid w:val="75970A0E"/>
    <w:rsid w:val="76FB4FCD"/>
    <w:rsid w:val="77BA6C36"/>
    <w:rsid w:val="77E506A5"/>
    <w:rsid w:val="77F474AF"/>
    <w:rsid w:val="789903AF"/>
    <w:rsid w:val="78B51C02"/>
    <w:rsid w:val="790243F1"/>
    <w:rsid w:val="79850576"/>
    <w:rsid w:val="79A47C6F"/>
    <w:rsid w:val="7A222412"/>
    <w:rsid w:val="7A5113F9"/>
    <w:rsid w:val="7ABF757F"/>
    <w:rsid w:val="7AE91D0C"/>
    <w:rsid w:val="7B217337"/>
    <w:rsid w:val="7BE93B15"/>
    <w:rsid w:val="7C823310"/>
    <w:rsid w:val="7C97190D"/>
    <w:rsid w:val="7CF73A76"/>
    <w:rsid w:val="7D124E1E"/>
    <w:rsid w:val="7D450D50"/>
    <w:rsid w:val="7DBA0247"/>
    <w:rsid w:val="7E462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仿宋_GB2312"/>
      <w:b/>
      <w:sz w:val="32"/>
    </w:rPr>
  </w:style>
  <w:style w:type="paragraph" w:styleId="4">
    <w:name w:val="heading 3"/>
    <w:basedOn w:val="1"/>
    <w:next w:val="1"/>
    <w:autoRedefine/>
    <w:qFormat/>
    <w:uiPriority w:val="9"/>
    <w:pPr>
      <w:widowControl/>
      <w:spacing w:before="100" w:beforeAutospacing="1" w:after="100" w:afterAutospacing="1"/>
      <w:jc w:val="left"/>
      <w:outlineLvl w:val="2"/>
    </w:pPr>
    <w:rPr>
      <w:rFonts w:ascii="宋体" w:hAnsi="宋体"/>
      <w:b/>
      <w:bCs/>
      <w:kern w:val="0"/>
      <w:sz w:val="27"/>
      <w:szCs w:val="27"/>
    </w:rPr>
  </w:style>
  <w:style w:type="paragraph" w:styleId="5">
    <w:name w:val="heading 5"/>
    <w:basedOn w:val="1"/>
    <w:next w:val="1"/>
    <w:autoRedefine/>
    <w:qFormat/>
    <w:uiPriority w:val="9"/>
    <w:pPr>
      <w:keepNext/>
      <w:keepLines/>
      <w:spacing w:before="280" w:after="290" w:line="376" w:lineRule="auto"/>
      <w:outlineLvl w:val="4"/>
    </w:pPr>
    <w:rPr>
      <w:b/>
      <w:bCs/>
      <w:sz w:val="28"/>
      <w:szCs w:val="28"/>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6">
    <w:name w:val="annotation text"/>
    <w:basedOn w:val="1"/>
    <w:link w:val="27"/>
    <w:autoRedefine/>
    <w:qFormat/>
    <w:uiPriority w:val="0"/>
    <w:pPr>
      <w:jc w:val="left"/>
    </w:pPr>
  </w:style>
  <w:style w:type="paragraph" w:styleId="7">
    <w:name w:val="Body Text"/>
    <w:basedOn w:val="1"/>
    <w:qFormat/>
    <w:uiPriority w:val="0"/>
    <w:pPr>
      <w:spacing w:after="120"/>
    </w:pPr>
  </w:style>
  <w:style w:type="paragraph" w:styleId="8">
    <w:name w:val="toc 3"/>
    <w:basedOn w:val="1"/>
    <w:next w:val="1"/>
    <w:autoRedefine/>
    <w:qFormat/>
    <w:uiPriority w:val="0"/>
    <w:pPr>
      <w:ind w:left="840" w:leftChars="400"/>
    </w:p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0"/>
  </w:style>
  <w:style w:type="paragraph" w:styleId="12">
    <w:name w:val="toc 2"/>
    <w:basedOn w:val="1"/>
    <w:next w:val="1"/>
    <w:qFormat/>
    <w:uiPriority w:val="0"/>
    <w:pPr>
      <w:ind w:left="420" w:leftChars="200"/>
    </w:pPr>
  </w:style>
  <w:style w:type="paragraph" w:styleId="13">
    <w:name w:val="Normal (Web)"/>
    <w:basedOn w:val="1"/>
    <w:autoRedefine/>
    <w:qFormat/>
    <w:uiPriority w:val="0"/>
    <w:pPr>
      <w:widowControl/>
      <w:jc w:val="left"/>
    </w:pPr>
    <w:rPr>
      <w:rFonts w:ascii="宋体" w:hAnsi="宋体" w:cs="宋体"/>
      <w:kern w:val="0"/>
      <w:sz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character" w:styleId="18">
    <w:name w:val="page number"/>
    <w:basedOn w:val="16"/>
    <w:autoRedefine/>
    <w:qFormat/>
    <w:uiPriority w:val="0"/>
  </w:style>
  <w:style w:type="character" w:styleId="19">
    <w:name w:val="Hyperlink"/>
    <w:basedOn w:val="16"/>
    <w:autoRedefine/>
    <w:qFormat/>
    <w:uiPriority w:val="0"/>
    <w:rPr>
      <w:color w:val="0000FF"/>
      <w:u w:val="single"/>
    </w:rPr>
  </w:style>
  <w:style w:type="character" w:customStyle="1" w:styleId="20">
    <w:name w:val="font31"/>
    <w:basedOn w:val="16"/>
    <w:autoRedefine/>
    <w:qFormat/>
    <w:uiPriority w:val="0"/>
    <w:rPr>
      <w:rFonts w:hint="eastAsia" w:ascii="宋体" w:hAnsi="宋体" w:eastAsia="宋体" w:cs="宋体"/>
      <w:color w:val="C00000"/>
      <w:sz w:val="22"/>
      <w:szCs w:val="22"/>
      <w:u w:val="none"/>
    </w:rPr>
  </w:style>
  <w:style w:type="character" w:customStyle="1" w:styleId="21">
    <w:name w:val="font11"/>
    <w:basedOn w:val="16"/>
    <w:autoRedefine/>
    <w:qFormat/>
    <w:uiPriority w:val="0"/>
    <w:rPr>
      <w:rFonts w:hint="eastAsia" w:ascii="宋体" w:hAnsi="宋体" w:eastAsia="宋体" w:cs="宋体"/>
      <w:b/>
      <w:bCs/>
      <w:color w:val="000000"/>
      <w:sz w:val="22"/>
      <w:szCs w:val="22"/>
      <w:u w:val="none"/>
    </w:rPr>
  </w:style>
  <w:style w:type="character" w:customStyle="1" w:styleId="22">
    <w:name w:val="font51"/>
    <w:basedOn w:val="16"/>
    <w:autoRedefine/>
    <w:qFormat/>
    <w:uiPriority w:val="0"/>
    <w:rPr>
      <w:rFonts w:hint="eastAsia" w:ascii="宋体" w:hAnsi="宋体" w:eastAsia="宋体" w:cs="宋体"/>
      <w:b/>
      <w:bCs/>
      <w:color w:val="4BACC6"/>
      <w:sz w:val="22"/>
      <w:szCs w:val="22"/>
      <w:u w:val="none"/>
    </w:rPr>
  </w:style>
  <w:style w:type="character" w:customStyle="1" w:styleId="23">
    <w:name w:val="font91"/>
    <w:basedOn w:val="16"/>
    <w:autoRedefine/>
    <w:qFormat/>
    <w:uiPriority w:val="0"/>
    <w:rPr>
      <w:rFonts w:hint="default" w:ascii="Times New Roman" w:hAnsi="Times New Roman" w:cs="Times New Roman"/>
      <w:b/>
      <w:bCs/>
      <w:color w:val="4BACC6"/>
      <w:sz w:val="22"/>
      <w:szCs w:val="22"/>
      <w:u w:val="none"/>
    </w:rPr>
  </w:style>
  <w:style w:type="paragraph" w:customStyle="1" w:styleId="24">
    <w:name w:val="WPSOffice手动目录 1"/>
    <w:autoRedefine/>
    <w:qFormat/>
    <w:uiPriority w:val="0"/>
    <w:pPr>
      <w:ind w:leftChars="0"/>
    </w:pPr>
    <w:rPr>
      <w:rFonts w:ascii="Times New Roman" w:hAnsi="Times New Roman" w:eastAsia="宋体" w:cs="Times New Roman"/>
      <w:sz w:val="20"/>
      <w:szCs w:val="20"/>
    </w:rPr>
  </w:style>
  <w:style w:type="paragraph" w:customStyle="1" w:styleId="25">
    <w:name w:val="WPSOffice手动目录 2"/>
    <w:autoRedefine/>
    <w:qFormat/>
    <w:uiPriority w:val="0"/>
    <w:pPr>
      <w:ind w:leftChars="200"/>
    </w:pPr>
    <w:rPr>
      <w:rFonts w:ascii="Times New Roman" w:hAnsi="Times New Roman" w:eastAsia="宋体" w:cs="Times New Roman"/>
      <w:sz w:val="20"/>
      <w:szCs w:val="20"/>
    </w:rPr>
  </w:style>
  <w:style w:type="paragraph" w:customStyle="1" w:styleId="26">
    <w:name w:val="WPSOffice手动目录 3"/>
    <w:autoRedefine/>
    <w:qFormat/>
    <w:uiPriority w:val="0"/>
    <w:pPr>
      <w:ind w:leftChars="400"/>
    </w:pPr>
    <w:rPr>
      <w:rFonts w:ascii="Times New Roman" w:hAnsi="Times New Roman" w:eastAsia="宋体" w:cs="Times New Roman"/>
      <w:sz w:val="20"/>
      <w:szCs w:val="20"/>
    </w:rPr>
  </w:style>
  <w:style w:type="character" w:customStyle="1" w:styleId="27">
    <w:name w:val="批注文字 Char"/>
    <w:link w:val="6"/>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43.png"/><Relationship Id="rId51" Type="http://schemas.openxmlformats.org/officeDocument/2006/relationships/image" Target="media/image42.jpe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jpeg"/><Relationship Id="rId43" Type="http://schemas.openxmlformats.org/officeDocument/2006/relationships/chart" Target="charts/chart1.xml"/><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dministrator\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1" i="0" u="none" strike="noStrike" kern="1200" baseline="0">
                <a:solidFill>
                  <a:sysClr val="windowText" lastClr="000000">
                    <a:lumMod val="75000"/>
                    <a:lumOff val="25000"/>
                  </a:sysClr>
                </a:solidFill>
                <a:latin typeface="+mn-lt"/>
                <a:ea typeface="+mn-ea"/>
                <a:cs typeface="+mn-cs"/>
              </a:defRPr>
            </a:pPr>
            <a:r>
              <a:rPr lang="en-US" altLang="zh-CN"/>
              <a:t>2022</a:t>
            </a:r>
            <a:r>
              <a:rPr altLang="en-US"/>
              <a:t>、</a:t>
            </a:r>
            <a:r>
              <a:rPr lang="en-US" altLang="zh-CN"/>
              <a:t>2023</a:t>
            </a:r>
            <a:r>
              <a:rPr altLang="en-US"/>
              <a:t>年度师生参加技能大赛情况统计</a:t>
            </a:r>
            <a:endParaRPr lang="en-US" altLang="zh-CN"/>
          </a:p>
        </c:rich>
      </c:tx>
      <c:layout/>
      <c:overlay val="0"/>
      <c:spPr>
        <a:noFill/>
        <a:ln>
          <a:noFill/>
        </a:ln>
        <a:effectLst/>
      </c:spPr>
    </c:title>
    <c:autoTitleDeleted val="0"/>
    <c:plotArea>
      <c:layout/>
      <c:barChart>
        <c:barDir val="col"/>
        <c:grouping val="clustered"/>
        <c:varyColors val="0"/>
        <c:ser>
          <c:idx val="0"/>
          <c:order val="0"/>
          <c:tx>
            <c:strRef>
              <c:f>'[新建 XLS 工作表.xls]Sheet1'!$A$3</c:f>
              <c:strCache>
                <c:ptCount val="1"/>
                <c:pt idx="0">
                  <c:v>2021-2022年</c:v>
                </c:pt>
              </c:strCache>
            </c:strRef>
          </c:tx>
          <c:spPr>
            <a:solidFill>
              <a:srgbClr val="5B9BD5"/>
            </a:solidFill>
            <a:ln>
              <a:noFill/>
            </a:ln>
            <a:effectLst/>
          </c:spPr>
          <c:invertIfNegative val="0"/>
          <c:dLbls>
            <c:delete val="1"/>
          </c:dLbls>
          <c:cat>
            <c:multiLvlStrRef>
              <c:f>'[新建 XLS 工作表.xls]Sheet1'!$B$1:$D$2</c:f>
              <c:multiLvlStrCache>
                <c:ptCount val="3"/>
                <c:lvl>
                  <c:pt idx="0">
                    <c:v>教师参赛人数</c:v>
                  </c:pt>
                  <c:pt idx="1">
                    <c:v>学生参赛人数</c:v>
                  </c:pt>
                  <c:pt idx="2">
                    <c:v>获奖人数</c:v>
                  </c:pt>
                </c:lvl>
                <c:lvl/>
              </c:multiLvlStrCache>
            </c:multiLvlStrRef>
          </c:cat>
          <c:val>
            <c:numRef>
              <c:f>'[新建 XLS 工作表.xls]Sheet1'!$B$3:$D$3</c:f>
              <c:numCache>
                <c:formatCode>General</c:formatCode>
                <c:ptCount val="3"/>
                <c:pt idx="0">
                  <c:v>2</c:v>
                </c:pt>
                <c:pt idx="1">
                  <c:v>625</c:v>
                </c:pt>
                <c:pt idx="2">
                  <c:v>82</c:v>
                </c:pt>
              </c:numCache>
            </c:numRef>
          </c:val>
        </c:ser>
        <c:ser>
          <c:idx val="1"/>
          <c:order val="1"/>
          <c:tx>
            <c:strRef>
              <c:f>'[新建 XLS 工作表.xls]Sheet1'!$A$4</c:f>
              <c:strCache>
                <c:ptCount val="1"/>
                <c:pt idx="0">
                  <c:v>2022-2023年</c:v>
                </c:pt>
              </c:strCache>
            </c:strRef>
          </c:tx>
          <c:spPr>
            <a:solidFill>
              <a:srgbClr val="ED7D31"/>
            </a:solidFill>
            <a:ln>
              <a:noFill/>
            </a:ln>
            <a:effectLst/>
          </c:spPr>
          <c:invertIfNegative val="0"/>
          <c:dLbls>
            <c:delete val="1"/>
          </c:dLbls>
          <c:cat>
            <c:multiLvlStrRef>
              <c:f>'[新建 XLS 工作表.xls]Sheet1'!$B$1:$D$2</c:f>
              <c:multiLvlStrCache>
                <c:ptCount val="3"/>
                <c:lvl>
                  <c:pt idx="0">
                    <c:v>教师参赛人数</c:v>
                  </c:pt>
                  <c:pt idx="1">
                    <c:v>学生参赛人数</c:v>
                  </c:pt>
                  <c:pt idx="2">
                    <c:v>获奖人数</c:v>
                  </c:pt>
                </c:lvl>
                <c:lvl/>
              </c:multiLvlStrCache>
            </c:multiLvlStrRef>
          </c:cat>
          <c:val>
            <c:numRef>
              <c:f>'[新建 XLS 工作表.xls]Sheet1'!$B$4:$D$4</c:f>
              <c:numCache>
                <c:formatCode>General</c:formatCode>
                <c:ptCount val="3"/>
                <c:pt idx="0">
                  <c:v>6</c:v>
                </c:pt>
                <c:pt idx="1">
                  <c:v>1342</c:v>
                </c:pt>
                <c:pt idx="2">
                  <c:v>216</c:v>
                </c:pt>
              </c:numCache>
            </c:numRef>
          </c:val>
        </c:ser>
        <c:dLbls>
          <c:showLegendKey val="0"/>
          <c:showVal val="0"/>
          <c:showCatName val="0"/>
          <c:showSerName val="0"/>
          <c:showPercent val="0"/>
          <c:showBubbleSize val="0"/>
        </c:dLbls>
        <c:gapWidth val="246"/>
        <c:overlap val="-28"/>
        <c:axId val="17547545"/>
        <c:axId val="290714277"/>
      </c:barChart>
      <c:catAx>
        <c:axId val="17547545"/>
        <c:scaling>
          <c:orientation val="minMax"/>
        </c:scaling>
        <c:delete val="0"/>
        <c:axPos val="b"/>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290714277"/>
        <c:crosses val="autoZero"/>
        <c:auto val="1"/>
        <c:lblAlgn val="ctr"/>
        <c:lblOffset val="100"/>
        <c:noMultiLvlLbl val="0"/>
      </c:catAx>
      <c:valAx>
        <c:axId val="290714277"/>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754754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19872</Words>
  <Characters>20964</Characters>
  <Lines>1</Lines>
  <Paragraphs>1</Paragraphs>
  <TotalTime>34</TotalTime>
  <ScaleCrop>false</ScaleCrop>
  <LinksUpToDate>false</LinksUpToDate>
  <CharactersWithSpaces>25661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2022-12-19T00:45:00Z</dcterms:created>
  <dc:creator>Administrator</dc:creator>
  <cp:lastModifiedBy>追梦人</cp:lastModifiedBy>
  <cp:lastPrinted>2023-12-26T08:12:00Z</cp:lastPrinted>
  <dcterms:modified xsi:type="dcterms:W3CDTF">2024-01-04T07:56:24Z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6082F8AE385943B08B1B3D5D52B0EF00_13</vt:lpwstr>
  </property>
</Properties>
</file>